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C7" w:rsidRPr="00DA3746" w:rsidRDefault="004120B9" w:rsidP="00C734C7">
      <w:pPr>
        <w:spacing w:line="360" w:lineRule="auto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Noureddine Miladi,</w:t>
      </w:r>
      <w:r w:rsidR="00C734C7" w:rsidRPr="00DA3746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 Professor</w:t>
      </w:r>
    </w:p>
    <w:p w:rsidR="00C734C7" w:rsidRPr="00DA3746" w:rsidRDefault="00C734C7" w:rsidP="00C734C7">
      <w:pPr>
        <w:spacing w:after="0" w:line="360" w:lineRule="auto"/>
        <w:ind w:left="360"/>
        <w:rPr>
          <w:rFonts w:ascii="Garamond" w:hAnsi="Garamond"/>
          <w:iCs/>
          <w:sz w:val="24"/>
          <w:szCs w:val="24"/>
        </w:rPr>
      </w:pPr>
      <w:r w:rsidRPr="00133D1E">
        <w:rPr>
          <w:rFonts w:ascii="Garamond" w:hAnsi="Garamond"/>
          <w:b/>
          <w:bCs/>
          <w:sz w:val="24"/>
          <w:szCs w:val="24"/>
          <w:u w:val="single"/>
        </w:rPr>
        <w:t xml:space="preserve">Books: </w:t>
      </w:r>
    </w:p>
    <w:p w:rsidR="00C734C7" w:rsidRPr="00DA3746" w:rsidRDefault="00C734C7" w:rsidP="00C734C7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 w:cs="Calibri"/>
          <w:sz w:val="24"/>
          <w:szCs w:val="24"/>
        </w:rPr>
        <w:t xml:space="preserve">Abdelmoula, Ezzeddine and Miladi, Noureddine (Eds.) (2016), </w:t>
      </w:r>
      <w:r w:rsidRPr="00DA3746">
        <w:rPr>
          <w:rFonts w:ascii="Garamond" w:hAnsi="Garamond" w:cs="Calibri"/>
          <w:i/>
          <w:iCs/>
          <w:sz w:val="24"/>
          <w:szCs w:val="24"/>
        </w:rPr>
        <w:t>Mapping the Al Jazeera Phenomenon 20 Year On</w:t>
      </w:r>
      <w:r w:rsidRPr="00DA3746">
        <w:rPr>
          <w:rFonts w:ascii="Garamond" w:hAnsi="Garamond" w:cs="Calibri"/>
          <w:sz w:val="24"/>
          <w:szCs w:val="24"/>
        </w:rPr>
        <w:t>, Doha: Al Jazeera Centre for Studies.</w:t>
      </w:r>
    </w:p>
    <w:p w:rsidR="00C734C7" w:rsidRPr="00DA3746" w:rsidRDefault="00C734C7" w:rsidP="00C734C7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/>
          <w:sz w:val="24"/>
          <w:szCs w:val="24"/>
        </w:rPr>
        <w:t xml:space="preserve">Kirat, Mohamed and Miladi, Noureddine </w:t>
      </w:r>
      <w:r w:rsidRPr="00DA3746">
        <w:rPr>
          <w:rFonts w:ascii="Garamond" w:hAnsi="Garamond" w:cs="Calibri"/>
          <w:sz w:val="24"/>
          <w:szCs w:val="24"/>
        </w:rPr>
        <w:t xml:space="preserve">(Eds.) </w:t>
      </w:r>
      <w:r w:rsidRPr="00DA3746">
        <w:rPr>
          <w:rFonts w:ascii="Garamond" w:hAnsi="Garamond"/>
          <w:sz w:val="24"/>
          <w:szCs w:val="24"/>
        </w:rPr>
        <w:t xml:space="preserve">(2015), </w:t>
      </w:r>
      <w:r w:rsidRPr="00DA3746">
        <w:rPr>
          <w:rFonts w:ascii="Garamond" w:hAnsi="Garamond"/>
          <w:i/>
          <w:iCs/>
          <w:sz w:val="24"/>
          <w:szCs w:val="24"/>
        </w:rPr>
        <w:t>Media and Crises</w:t>
      </w:r>
      <w:r w:rsidRPr="00DA3746">
        <w:rPr>
          <w:rFonts w:ascii="Garamond" w:hAnsi="Garamond"/>
          <w:sz w:val="24"/>
          <w:szCs w:val="24"/>
        </w:rPr>
        <w:t xml:space="preserve">: </w:t>
      </w:r>
      <w:r w:rsidRPr="00DA3746">
        <w:rPr>
          <w:rFonts w:ascii="Garamond" w:hAnsi="Garamond"/>
          <w:i/>
          <w:iCs/>
          <w:sz w:val="24"/>
          <w:szCs w:val="24"/>
        </w:rPr>
        <w:t>The Art of Manipulation, Misinformation and Propaganda</w:t>
      </w:r>
      <w:r w:rsidRPr="00DA3746">
        <w:rPr>
          <w:rFonts w:ascii="Garamond" w:hAnsi="Garamond"/>
          <w:sz w:val="24"/>
          <w:szCs w:val="24"/>
        </w:rPr>
        <w:t xml:space="preserve"> (Arabic). Al-</w:t>
      </w:r>
      <w:proofErr w:type="spellStart"/>
      <w:r w:rsidRPr="00DA3746">
        <w:rPr>
          <w:rFonts w:ascii="Garamond" w:hAnsi="Garamond"/>
          <w:sz w:val="24"/>
          <w:szCs w:val="24"/>
        </w:rPr>
        <w:t>Falah</w:t>
      </w:r>
      <w:proofErr w:type="spellEnd"/>
      <w:r w:rsidRPr="00DA3746">
        <w:rPr>
          <w:rFonts w:ascii="Garamond" w:hAnsi="Garamond"/>
          <w:sz w:val="24"/>
          <w:szCs w:val="24"/>
        </w:rPr>
        <w:t xml:space="preserve"> Books, UAE.</w:t>
      </w:r>
    </w:p>
    <w:p w:rsidR="00C734C7" w:rsidRPr="00133D1E" w:rsidRDefault="00C734C7" w:rsidP="00C734C7">
      <w:pPr>
        <w:spacing w:line="360" w:lineRule="auto"/>
        <w:ind w:left="360"/>
        <w:rPr>
          <w:rFonts w:ascii="Garamond" w:hAnsi="Garamond"/>
          <w:b/>
          <w:bCs/>
          <w:sz w:val="24"/>
          <w:szCs w:val="24"/>
          <w:u w:val="single"/>
        </w:rPr>
      </w:pPr>
      <w:r w:rsidRPr="00133D1E">
        <w:rPr>
          <w:rFonts w:ascii="Garamond" w:hAnsi="Garamond"/>
          <w:b/>
          <w:bCs/>
          <w:sz w:val="24"/>
          <w:szCs w:val="24"/>
          <w:u w:val="single"/>
        </w:rPr>
        <w:t>Book Chapters: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 w:cs="Arial"/>
          <w:sz w:val="24"/>
          <w:szCs w:val="24"/>
        </w:rPr>
        <w:t xml:space="preserve">Miladi, Noureddine (2016), ‘Social Media as the New Identity Battleground: The Cultural Comeback in Tunisia after the Revolution of 14 January 2011’, </w:t>
      </w:r>
      <w:r w:rsidRPr="00DA3746">
        <w:rPr>
          <w:rFonts w:ascii="Garamond" w:hAnsi="Garamond"/>
          <w:sz w:val="24"/>
          <w:szCs w:val="24"/>
        </w:rPr>
        <w:t>(Book Chapter)</w:t>
      </w:r>
      <w:r w:rsidRPr="00DA3746">
        <w:rPr>
          <w:rFonts w:ascii="Garamond" w:hAnsi="Garamond" w:cs="Arial"/>
          <w:sz w:val="24"/>
          <w:szCs w:val="24"/>
        </w:rPr>
        <w:t xml:space="preserve"> in Mellor, </w:t>
      </w:r>
      <w:proofErr w:type="spellStart"/>
      <w:r w:rsidRPr="00DA3746">
        <w:rPr>
          <w:rFonts w:ascii="Garamond" w:hAnsi="Garamond" w:cs="Arial"/>
          <w:sz w:val="24"/>
          <w:szCs w:val="24"/>
        </w:rPr>
        <w:t>Noha</w:t>
      </w:r>
      <w:proofErr w:type="spellEnd"/>
      <w:r w:rsidRPr="00DA3746">
        <w:rPr>
          <w:rFonts w:ascii="Garamond" w:hAnsi="Garamond" w:cs="Arial"/>
          <w:sz w:val="24"/>
          <w:szCs w:val="24"/>
        </w:rPr>
        <w:t xml:space="preserve"> and </w:t>
      </w:r>
      <w:proofErr w:type="spellStart"/>
      <w:r w:rsidRPr="00DA3746">
        <w:rPr>
          <w:rFonts w:ascii="Garamond" w:hAnsi="Garamond" w:cs="Arial"/>
          <w:sz w:val="24"/>
          <w:szCs w:val="24"/>
        </w:rPr>
        <w:t>Rinnawi</w:t>
      </w:r>
      <w:proofErr w:type="spellEnd"/>
      <w:r w:rsidRPr="00DA3746">
        <w:rPr>
          <w:rFonts w:ascii="Garamond" w:hAnsi="Garamond" w:cs="Arial"/>
          <w:sz w:val="24"/>
          <w:szCs w:val="24"/>
        </w:rPr>
        <w:t xml:space="preserve">, Khalil, </w:t>
      </w:r>
      <w:r w:rsidRPr="00DA3746">
        <w:rPr>
          <w:rStyle w:val="a-size-large"/>
          <w:rFonts w:ascii="Garamond" w:hAnsi="Garamond"/>
          <w:i/>
          <w:iCs/>
          <w:sz w:val="24"/>
          <w:szCs w:val="24"/>
        </w:rPr>
        <w:t>Political Islam and Global Media: The boundaries of religious identity</w:t>
      </w:r>
      <w:r w:rsidRPr="00DA3746">
        <w:rPr>
          <w:rStyle w:val="a-size-large"/>
          <w:rFonts w:ascii="Garamond" w:hAnsi="Garamond"/>
          <w:sz w:val="24"/>
          <w:szCs w:val="24"/>
        </w:rPr>
        <w:t xml:space="preserve">, </w:t>
      </w:r>
      <w:r w:rsidRPr="00DA3746">
        <w:rPr>
          <w:rFonts w:ascii="Garamond" w:hAnsi="Garamond" w:cs="Arial"/>
          <w:sz w:val="24"/>
          <w:szCs w:val="24"/>
        </w:rPr>
        <w:t>Netherlands: Springer, pp. 34-48.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/>
          <w:sz w:val="24"/>
          <w:szCs w:val="24"/>
        </w:rPr>
        <w:t xml:space="preserve">Miladi, Noureddine (2016), ‘Power and Citizenship in the Social Media Networks: British Muslims, crime prevention and social engagement’. In </w:t>
      </w:r>
      <w:proofErr w:type="spellStart"/>
      <w:r w:rsidRPr="00DA3746">
        <w:rPr>
          <w:rFonts w:ascii="Garamond" w:hAnsi="Garamond" w:cs="Arial"/>
          <w:bCs/>
          <w:sz w:val="24"/>
          <w:szCs w:val="24"/>
        </w:rPr>
        <w:t>Sadique</w:t>
      </w:r>
      <w:proofErr w:type="spellEnd"/>
      <w:r w:rsidRPr="00DA3746">
        <w:rPr>
          <w:rFonts w:ascii="Garamond" w:hAnsi="Garamond" w:cs="Arial"/>
          <w:bCs/>
          <w:sz w:val="24"/>
          <w:szCs w:val="24"/>
        </w:rPr>
        <w:t xml:space="preserve">, Kim and </w:t>
      </w:r>
      <w:proofErr w:type="spellStart"/>
      <w:r w:rsidRPr="00DA3746">
        <w:rPr>
          <w:rFonts w:ascii="Garamond" w:hAnsi="Garamond" w:cs="Arial"/>
          <w:bCs/>
          <w:sz w:val="24"/>
          <w:szCs w:val="24"/>
        </w:rPr>
        <w:t>Stanislas</w:t>
      </w:r>
      <w:proofErr w:type="spellEnd"/>
      <w:r w:rsidRPr="00DA3746">
        <w:rPr>
          <w:rFonts w:ascii="Garamond" w:hAnsi="Garamond" w:cs="Arial"/>
          <w:bCs/>
          <w:sz w:val="24"/>
          <w:szCs w:val="24"/>
        </w:rPr>
        <w:t xml:space="preserve">, Perry (eds.), </w:t>
      </w:r>
      <w:r w:rsidRPr="00DA3746">
        <w:rPr>
          <w:rFonts w:ascii="Garamond" w:hAnsi="Garamond" w:cs="Arial"/>
          <w:bCs/>
          <w:i/>
          <w:iCs/>
          <w:sz w:val="24"/>
          <w:szCs w:val="24"/>
        </w:rPr>
        <w:t>Religion, Faith &amp; Crime: Theory, Identities and Issues</w:t>
      </w:r>
      <w:r w:rsidRPr="00DA3746">
        <w:rPr>
          <w:rFonts w:ascii="Garamond" w:hAnsi="Garamond" w:cs="Arial"/>
          <w:bCs/>
          <w:sz w:val="24"/>
          <w:szCs w:val="24"/>
        </w:rPr>
        <w:t xml:space="preserve">. London: </w:t>
      </w:r>
      <w:r w:rsidRPr="00DA3746">
        <w:rPr>
          <w:rFonts w:ascii="Garamond" w:hAnsi="Garamond"/>
          <w:sz w:val="24"/>
          <w:szCs w:val="24"/>
        </w:rPr>
        <w:t>Palgrave McMillan, pp. 285-306.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DA3746">
        <w:rPr>
          <w:rFonts w:ascii="Garamond" w:hAnsi="Garamond"/>
          <w:color w:val="000000"/>
          <w:sz w:val="24"/>
          <w:szCs w:val="24"/>
        </w:rPr>
        <w:t xml:space="preserve">Miladi, Noureddine (2016), Social Media and Social Change’ in Aman, Mohammed and Aman, Mary (Eds.) </w:t>
      </w:r>
      <w:proofErr w:type="gramStart"/>
      <w:r w:rsidRPr="00DA3746">
        <w:rPr>
          <w:rFonts w:ascii="Garamond" w:hAnsi="Garamond"/>
          <w:i/>
          <w:iCs/>
          <w:color w:val="000000"/>
          <w:sz w:val="24"/>
          <w:szCs w:val="24"/>
        </w:rPr>
        <w:t>The</w:t>
      </w:r>
      <w:proofErr w:type="gramEnd"/>
      <w:r w:rsidRPr="00DA3746">
        <w:rPr>
          <w:rFonts w:ascii="Garamond" w:hAnsi="Garamond"/>
          <w:i/>
          <w:iCs/>
          <w:color w:val="000000"/>
          <w:sz w:val="24"/>
          <w:szCs w:val="24"/>
        </w:rPr>
        <w:t xml:space="preserve"> Middle East: New Order or Disorder?</w:t>
      </w:r>
      <w:r w:rsidRPr="00DA3746">
        <w:rPr>
          <w:rFonts w:ascii="Garamond" w:hAnsi="Garamond"/>
          <w:color w:val="000000"/>
          <w:sz w:val="24"/>
          <w:szCs w:val="24"/>
        </w:rPr>
        <w:t xml:space="preserve"> Washington DC: Westphalia Press, pp. 279-297.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 w:cs="Calibri"/>
          <w:sz w:val="24"/>
          <w:szCs w:val="24"/>
        </w:rPr>
      </w:pPr>
      <w:r w:rsidRPr="00DA3746">
        <w:rPr>
          <w:rFonts w:ascii="Garamond" w:hAnsi="Garamond" w:cs="Calibri"/>
          <w:sz w:val="24"/>
          <w:szCs w:val="24"/>
        </w:rPr>
        <w:t>Miladi, Noureddine (2018), ‘</w:t>
      </w:r>
      <w:r w:rsidRPr="00DA3746">
        <w:rPr>
          <w:rFonts w:ascii="Garamond" w:hAnsi="Garamond"/>
          <w:sz w:val="24"/>
          <w:szCs w:val="24"/>
        </w:rPr>
        <w:t xml:space="preserve">Urban graffiti, political activism and resistance’ in </w:t>
      </w:r>
      <w:proofErr w:type="spellStart"/>
      <w:r w:rsidRPr="00DA3746">
        <w:rPr>
          <w:rFonts w:ascii="Garamond" w:hAnsi="Garamond"/>
          <w:sz w:val="24"/>
          <w:szCs w:val="24"/>
        </w:rPr>
        <w:t>Meikle</w:t>
      </w:r>
      <w:proofErr w:type="spellEnd"/>
      <w:r w:rsidRPr="00DA3746">
        <w:rPr>
          <w:rFonts w:ascii="Garamond" w:hAnsi="Garamond"/>
          <w:sz w:val="24"/>
          <w:szCs w:val="24"/>
        </w:rPr>
        <w:t xml:space="preserve">, Graham (Ed.) </w:t>
      </w:r>
      <w:r w:rsidRPr="00DA3746">
        <w:rPr>
          <w:rFonts w:ascii="Garamond" w:hAnsi="Garamond"/>
          <w:i/>
          <w:iCs/>
          <w:sz w:val="24"/>
          <w:szCs w:val="24"/>
        </w:rPr>
        <w:t>The Routledge Companion to Media and Activism</w:t>
      </w:r>
      <w:r w:rsidRPr="00DA3746">
        <w:rPr>
          <w:rFonts w:ascii="Garamond" w:hAnsi="Garamond"/>
          <w:sz w:val="24"/>
          <w:szCs w:val="24"/>
        </w:rPr>
        <w:t>, London: Routledge. ISBN: 9781138202030.</w:t>
      </w:r>
    </w:p>
    <w:p w:rsidR="00C734C7" w:rsidRPr="00DA3746" w:rsidRDefault="00C734C7" w:rsidP="00C734C7">
      <w:pPr>
        <w:pStyle w:val="ListParagraph"/>
        <w:numPr>
          <w:ilvl w:val="0"/>
          <w:numId w:val="3"/>
        </w:numPr>
        <w:spacing w:after="0" w:line="360" w:lineRule="auto"/>
        <w:rPr>
          <w:rFonts w:ascii="Garamond" w:hAnsi="Garamond" w:cs="Calibri"/>
          <w:sz w:val="24"/>
          <w:szCs w:val="24"/>
        </w:rPr>
      </w:pPr>
      <w:r w:rsidRPr="00DA3746">
        <w:rPr>
          <w:rFonts w:ascii="Garamond" w:hAnsi="Garamond" w:cs="Calibri"/>
          <w:color w:val="000000" w:themeColor="text1"/>
          <w:sz w:val="24"/>
          <w:szCs w:val="24"/>
        </w:rPr>
        <w:t>Miladi, Noureddine (2018), ‘</w:t>
      </w:r>
      <w:r w:rsidRPr="00DA3746">
        <w:rPr>
          <w:rFonts w:ascii="Garamond" w:hAnsi="Garamond"/>
          <w:color w:val="000000" w:themeColor="text1"/>
          <w:sz w:val="24"/>
          <w:szCs w:val="24"/>
        </w:rPr>
        <w:t xml:space="preserve">The Communicative Function of Public Spaces’ in </w:t>
      </w:r>
      <w:hyperlink r:id="rId5" w:tooltip="search for all books by Simon Collister" w:history="1">
        <w:r w:rsidRPr="00DA3746">
          <w:rPr>
            <w:rStyle w:val="Hyperlink"/>
            <w:rFonts w:ascii="Garamond" w:hAnsi="Garamond"/>
            <w:color w:val="000000" w:themeColor="text1"/>
            <w:sz w:val="24"/>
            <w:szCs w:val="24"/>
          </w:rPr>
          <w:t xml:space="preserve"> </w:t>
        </w:r>
        <w:proofErr w:type="spellStart"/>
        <w:r w:rsidRPr="00DA3746">
          <w:rPr>
            <w:rStyle w:val="Hyperlink"/>
            <w:rFonts w:ascii="Garamond" w:hAnsi="Garamond"/>
            <w:color w:val="000000" w:themeColor="text1"/>
            <w:sz w:val="24"/>
            <w:szCs w:val="24"/>
          </w:rPr>
          <w:t>Collister</w:t>
        </w:r>
        <w:proofErr w:type="spellEnd"/>
      </w:hyperlink>
      <w:r w:rsidRPr="00DA3746">
        <w:rPr>
          <w:rFonts w:ascii="Garamond" w:hAnsi="Garamond"/>
          <w:color w:val="000000" w:themeColor="text1"/>
          <w:sz w:val="24"/>
          <w:szCs w:val="24"/>
        </w:rPr>
        <w:t xml:space="preserve">, Simon and </w:t>
      </w:r>
      <w:hyperlink r:id="rId6" w:tooltip="search for all books by Sarah Roberts-Bowman" w:history="1">
        <w:r w:rsidRPr="00DA3746">
          <w:rPr>
            <w:rStyle w:val="Hyperlink"/>
            <w:rFonts w:ascii="Garamond" w:hAnsi="Garamond"/>
            <w:color w:val="000000" w:themeColor="text1"/>
            <w:sz w:val="24"/>
            <w:szCs w:val="24"/>
          </w:rPr>
          <w:t>Roberts-Bowman</w:t>
        </w:r>
      </w:hyperlink>
      <w:r w:rsidRPr="00DA3746">
        <w:rPr>
          <w:rFonts w:ascii="Garamond" w:hAnsi="Garamond"/>
          <w:color w:val="000000" w:themeColor="text1"/>
          <w:sz w:val="24"/>
          <w:szCs w:val="24"/>
        </w:rPr>
        <w:t>, Sarah (Eds.)</w:t>
      </w:r>
      <w:r w:rsidRPr="00DA3746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Pr="00DA3746">
        <w:rPr>
          <w:rFonts w:ascii="Garamond" w:hAnsi="Garamond"/>
          <w:i/>
          <w:iCs/>
          <w:color w:val="000000" w:themeColor="text1"/>
          <w:sz w:val="24"/>
          <w:szCs w:val="24"/>
        </w:rPr>
        <w:t>Visual &amp; Spatial Public Relations: Strategic Communication Beyond Text</w:t>
      </w:r>
      <w:r w:rsidRPr="00DA3746">
        <w:rPr>
          <w:rFonts w:ascii="Garamond" w:hAnsi="Garamond"/>
          <w:color w:val="000000" w:themeColor="text1"/>
          <w:sz w:val="24"/>
          <w:szCs w:val="24"/>
        </w:rPr>
        <w:t>. London</w:t>
      </w:r>
      <w:r w:rsidRPr="00DA3746">
        <w:rPr>
          <w:rFonts w:ascii="Garamond" w:hAnsi="Garamond"/>
          <w:sz w:val="24"/>
          <w:szCs w:val="24"/>
        </w:rPr>
        <w:t>: Routledge. ISBN: 9781138064669.</w:t>
      </w:r>
    </w:p>
    <w:p w:rsidR="004120B9" w:rsidRPr="00133D1E" w:rsidRDefault="004120B9" w:rsidP="004120B9">
      <w:pPr>
        <w:spacing w:line="360" w:lineRule="auto"/>
        <w:ind w:left="360"/>
        <w:rPr>
          <w:rFonts w:ascii="Garamond" w:hAnsi="Garamond"/>
          <w:b/>
          <w:bCs/>
          <w:sz w:val="24"/>
          <w:szCs w:val="24"/>
          <w:u w:val="single"/>
        </w:rPr>
      </w:pPr>
      <w:r w:rsidRPr="00133D1E">
        <w:rPr>
          <w:rFonts w:ascii="Garamond" w:hAnsi="Garamond"/>
          <w:b/>
          <w:bCs/>
          <w:sz w:val="24"/>
          <w:szCs w:val="24"/>
          <w:u w:val="single"/>
        </w:rPr>
        <w:t xml:space="preserve">Refereed Journal </w:t>
      </w:r>
      <w:r>
        <w:rPr>
          <w:rFonts w:ascii="Garamond" w:hAnsi="Garamond"/>
          <w:b/>
          <w:bCs/>
          <w:sz w:val="24"/>
          <w:szCs w:val="24"/>
          <w:u w:val="single"/>
        </w:rPr>
        <w:t>Articles</w:t>
      </w:r>
      <w:r w:rsidRPr="00133D1E">
        <w:rPr>
          <w:rFonts w:ascii="Garamond" w:hAnsi="Garamond"/>
          <w:b/>
          <w:bCs/>
          <w:sz w:val="24"/>
          <w:szCs w:val="24"/>
          <w:u w:val="single"/>
        </w:rPr>
        <w:t>:</w:t>
      </w:r>
    </w:p>
    <w:p w:rsidR="004120B9" w:rsidRPr="00DA3746" w:rsidRDefault="004120B9" w:rsidP="004120B9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iCs/>
          <w:sz w:val="24"/>
          <w:szCs w:val="24"/>
        </w:rPr>
      </w:pPr>
      <w:r w:rsidRPr="00DA3746">
        <w:rPr>
          <w:rFonts w:ascii="Garamond" w:hAnsi="Garamond"/>
          <w:sz w:val="24"/>
          <w:szCs w:val="24"/>
        </w:rPr>
        <w:t xml:space="preserve">Miladi, Noureddine (2015), </w:t>
      </w:r>
      <w:r w:rsidRPr="00DA3746">
        <w:rPr>
          <w:rFonts w:ascii="Garamond" w:hAnsi="Garamond" w:cs="Arial"/>
          <w:sz w:val="24"/>
          <w:szCs w:val="24"/>
        </w:rPr>
        <w:t xml:space="preserve">‘Alternative Fabrics of Hegemony: City Squares and Street Graffiti as Sites of Resistance and Interactive </w:t>
      </w:r>
      <w:r w:rsidRPr="00DA3746">
        <w:rPr>
          <w:rFonts w:ascii="Garamond" w:hAnsi="Garamond" w:cs="Arial"/>
          <w:sz w:val="24"/>
          <w:szCs w:val="24"/>
        </w:rPr>
        <w:lastRenderedPageBreak/>
        <w:t xml:space="preserve">Communication Flow’. </w:t>
      </w:r>
      <w:r w:rsidRPr="00DA3746">
        <w:rPr>
          <w:rFonts w:ascii="Garamond" w:hAnsi="Garamond" w:cs="Arial"/>
          <w:i/>
          <w:iCs/>
          <w:sz w:val="24"/>
          <w:szCs w:val="24"/>
        </w:rPr>
        <w:t>Journal of African Media Studies 7: 2</w:t>
      </w:r>
      <w:r w:rsidRPr="00DA3746">
        <w:rPr>
          <w:rFonts w:ascii="Garamond" w:hAnsi="Garamond" w:cs="Arial"/>
          <w:sz w:val="24"/>
          <w:szCs w:val="24"/>
        </w:rPr>
        <w:t xml:space="preserve"> (pp. 129-140).</w:t>
      </w:r>
    </w:p>
    <w:p w:rsidR="004120B9" w:rsidRPr="00DA3746" w:rsidRDefault="004120B9" w:rsidP="004120B9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DA3746">
        <w:rPr>
          <w:rFonts w:ascii="Garamond" w:hAnsi="Garamond"/>
          <w:sz w:val="24"/>
          <w:szCs w:val="24"/>
        </w:rPr>
        <w:t>Miladi, Noureddine (2016). ‘Media and the Democratic Transition in Tunisia. Case Study: The National Broadcaster Al-</w:t>
      </w:r>
      <w:proofErr w:type="spellStart"/>
      <w:r w:rsidRPr="00DA3746">
        <w:rPr>
          <w:rFonts w:ascii="Garamond" w:hAnsi="Garamond"/>
          <w:sz w:val="24"/>
          <w:szCs w:val="24"/>
        </w:rPr>
        <w:t>Watania</w:t>
      </w:r>
      <w:proofErr w:type="spellEnd"/>
      <w:r w:rsidRPr="00DA3746">
        <w:rPr>
          <w:rFonts w:ascii="Garamond" w:hAnsi="Garamond"/>
          <w:sz w:val="24"/>
          <w:szCs w:val="24"/>
        </w:rPr>
        <w:t xml:space="preserve"> TV1’. </w:t>
      </w:r>
      <w:r w:rsidRPr="00DA3746">
        <w:rPr>
          <w:rFonts w:ascii="Garamond" w:hAnsi="Garamond"/>
          <w:i/>
          <w:iCs/>
          <w:sz w:val="24"/>
          <w:szCs w:val="24"/>
        </w:rPr>
        <w:t>AREACORE- Arab European Revue for Information and Communication Sciences, 1</w:t>
      </w:r>
      <w:r w:rsidRPr="00DA3746">
        <w:rPr>
          <w:rFonts w:ascii="Garamond" w:hAnsi="Garamond"/>
          <w:sz w:val="24"/>
          <w:szCs w:val="24"/>
        </w:rPr>
        <w:t>(1), pp. 41-58.</w:t>
      </w:r>
    </w:p>
    <w:p w:rsidR="004120B9" w:rsidRPr="00DA3746" w:rsidRDefault="004120B9" w:rsidP="004120B9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DA3746">
        <w:rPr>
          <w:rFonts w:ascii="Garamond" w:hAnsi="Garamond"/>
          <w:color w:val="000000"/>
          <w:sz w:val="24"/>
          <w:szCs w:val="24"/>
        </w:rPr>
        <w:t xml:space="preserve">Miladi, Noureddine (2016), ‘Social Media and Social Change’, </w:t>
      </w:r>
      <w:r w:rsidRPr="00DA3746">
        <w:rPr>
          <w:rFonts w:ascii="Garamond" w:hAnsi="Garamond"/>
          <w:i/>
          <w:iCs/>
          <w:color w:val="000000"/>
          <w:sz w:val="24"/>
          <w:szCs w:val="24"/>
        </w:rPr>
        <w:t>Digest of the Middle East Studies</w:t>
      </w:r>
      <w:r w:rsidRPr="00DA3746">
        <w:rPr>
          <w:rFonts w:ascii="Garamond" w:hAnsi="Garamond"/>
          <w:color w:val="000000"/>
          <w:sz w:val="24"/>
          <w:szCs w:val="24"/>
        </w:rPr>
        <w:t xml:space="preserve">, 25: 1, pp. 36-51. </w:t>
      </w:r>
      <w:r w:rsidRPr="00DA3746">
        <w:rPr>
          <w:rFonts w:ascii="Garamond" w:hAnsi="Garamond"/>
          <w:sz w:val="24"/>
          <w:szCs w:val="24"/>
        </w:rPr>
        <w:t>DOI: 10.1111/dome.12082; Online ISSN: 1949-3606</w:t>
      </w:r>
    </w:p>
    <w:p w:rsidR="004120B9" w:rsidRPr="00DA3746" w:rsidRDefault="004120B9" w:rsidP="004120B9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r w:rsidRPr="00DA3746">
        <w:rPr>
          <w:rFonts w:ascii="Garamond" w:hAnsi="Garamond"/>
          <w:color w:val="000000"/>
          <w:sz w:val="24"/>
          <w:szCs w:val="24"/>
        </w:rPr>
        <w:t>Miladi, Noureddine (2018), ‘</w:t>
      </w:r>
      <w:r w:rsidRPr="00DA3746">
        <w:rPr>
          <w:rFonts w:ascii="Garamond" w:hAnsi="Garamond" w:cs="Arial"/>
          <w:sz w:val="24"/>
          <w:szCs w:val="24"/>
        </w:rPr>
        <w:t xml:space="preserve">Discursive Language and the Politics of Fear: The Representation of Islam and Muslims in the British Tabloid Press’, </w:t>
      </w:r>
      <w:r w:rsidRPr="00DA3746">
        <w:rPr>
          <w:rFonts w:ascii="Garamond" w:hAnsi="Garamond" w:cs="Arial"/>
          <w:i/>
          <w:iCs/>
          <w:color w:val="000000"/>
          <w:sz w:val="24"/>
          <w:szCs w:val="24"/>
        </w:rPr>
        <w:t>Journal of Applied Journalism and Media Studies</w:t>
      </w:r>
      <w:r w:rsidRPr="00DA3746">
        <w:rPr>
          <w:rFonts w:ascii="Garamond" w:hAnsi="Garamond" w:cs="Arial"/>
          <w:color w:val="000000"/>
          <w:sz w:val="24"/>
          <w:szCs w:val="24"/>
        </w:rPr>
        <w:t xml:space="preserve">, </w:t>
      </w:r>
      <w:r w:rsidRPr="00DA3746">
        <w:rPr>
          <w:rFonts w:ascii="Garamond" w:hAnsi="Garamond" w:cs="Arial"/>
          <w:sz w:val="24"/>
          <w:szCs w:val="24"/>
        </w:rPr>
        <w:t>2018, Vol. 8.3, (Accepted for publication)</w:t>
      </w:r>
      <w:r w:rsidRPr="00DA3746">
        <w:rPr>
          <w:rFonts w:ascii="Garamond" w:hAnsi="Garamond"/>
          <w:color w:val="000000"/>
          <w:sz w:val="24"/>
          <w:szCs w:val="24"/>
        </w:rPr>
        <w:t>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5D"/>
    <w:multiLevelType w:val="hybridMultilevel"/>
    <w:tmpl w:val="5F1048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D0EAA"/>
    <w:multiLevelType w:val="hybridMultilevel"/>
    <w:tmpl w:val="7C7C2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78F7"/>
    <w:multiLevelType w:val="hybridMultilevel"/>
    <w:tmpl w:val="DE7845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C7"/>
    <w:rsid w:val="004120B9"/>
    <w:rsid w:val="00495711"/>
    <w:rsid w:val="006A4B79"/>
    <w:rsid w:val="00C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D1457-0E91-4BC5-936D-C0B8734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4C7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73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34C7"/>
    <w:pPr>
      <w:ind w:left="720"/>
      <w:contextualSpacing/>
    </w:pPr>
  </w:style>
  <w:style w:type="character" w:customStyle="1" w:styleId="a-size-large">
    <w:name w:val="a-size-large"/>
    <w:rsid w:val="00C7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utledge.com/products/search?author=Sarah%20Roberts-Bowman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routledge.com/products/search?author=Simon%20Collister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QPT3VHF6MKWP-83287781-46477</_dlc_DocId>
    <_dlc_DocIdUrl xmlns="4595ca7b-3a15-4971-af5f-cadc29c03e04">
      <Url>https://qataruniversity-prd.qu.edu.qa/_layouts/15/DocIdRedir.aspx?ID=QPT3VHF6MKWP-83287781-46477</Url>
      <Description>QPT3VHF6MKWP-83287781-46477</Description>
    </_dlc_DocIdUrl>
  </documentManagement>
</p:properties>
</file>

<file path=customXml/itemProps1.xml><?xml version="1.0" encoding="utf-8"?>
<ds:datastoreItem xmlns:ds="http://schemas.openxmlformats.org/officeDocument/2006/customXml" ds:itemID="{DFE054FA-1521-4BEF-B992-C82B48009B5C}"/>
</file>

<file path=customXml/itemProps2.xml><?xml version="1.0" encoding="utf-8"?>
<ds:datastoreItem xmlns:ds="http://schemas.openxmlformats.org/officeDocument/2006/customXml" ds:itemID="{3A2AAC46-A9FA-41D3-8588-AFBC11BAC426}"/>
</file>

<file path=customXml/itemProps3.xml><?xml version="1.0" encoding="utf-8"?>
<ds:datastoreItem xmlns:ds="http://schemas.openxmlformats.org/officeDocument/2006/customXml" ds:itemID="{12DFE495-9064-45B1-B617-136106731CEE}"/>
</file>

<file path=customXml/itemProps4.xml><?xml version="1.0" encoding="utf-8"?>
<ds:datastoreItem xmlns:ds="http://schemas.openxmlformats.org/officeDocument/2006/customXml" ds:itemID="{4E5BB3CB-CDFC-455D-B95A-3767079F4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2018-11-07T04:57:00Z</dcterms:created>
  <dcterms:modified xsi:type="dcterms:W3CDTF">2018-11-07T04:57:00Z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95e81124-40ed-4a69-b97f-b25bad81e279</vt:lpwstr>
  </property>
</Properties>
</file>