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976" w:rsidRPr="00482976" w:rsidRDefault="00482976" w:rsidP="00482976">
      <w:pPr>
        <w:widowControl w:val="0"/>
        <w:autoSpaceDE w:val="0"/>
        <w:autoSpaceDN w:val="0"/>
        <w:adjustRightInd w:val="0"/>
        <w:spacing w:after="0" w:line="276" w:lineRule="auto"/>
        <w:rPr>
          <w:rFonts w:ascii="Garamond" w:eastAsia="MS Mincho" w:hAnsi="Garamond" w:cs="Times New Roman"/>
          <w:b/>
          <w:color w:val="000000"/>
          <w:sz w:val="24"/>
          <w:szCs w:val="24"/>
          <w:u w:val="single"/>
        </w:rPr>
      </w:pPr>
      <w:bookmarkStart w:id="0" w:name="_GoBack"/>
      <w:bookmarkEnd w:id="0"/>
      <w:r w:rsidRPr="00482976">
        <w:rPr>
          <w:rFonts w:ascii="Garamond" w:eastAsia="MS Mincho" w:hAnsi="Garamond" w:cs="Times New Roman"/>
          <w:b/>
          <w:color w:val="000000"/>
          <w:sz w:val="24"/>
          <w:szCs w:val="24"/>
          <w:u w:val="single"/>
        </w:rPr>
        <w:t>Hala Guta, Assistant Professor</w:t>
      </w:r>
    </w:p>
    <w:p w:rsidR="00482976" w:rsidRPr="00482976" w:rsidRDefault="00482976" w:rsidP="00482976">
      <w:pPr>
        <w:widowControl w:val="0"/>
        <w:autoSpaceDE w:val="0"/>
        <w:autoSpaceDN w:val="0"/>
        <w:adjustRightInd w:val="0"/>
        <w:spacing w:after="0" w:line="276" w:lineRule="auto"/>
        <w:rPr>
          <w:rFonts w:ascii="Garamond" w:eastAsia="MS Mincho" w:hAnsi="Garamond" w:cs="Times New Roman"/>
          <w:b/>
          <w:color w:val="000000"/>
          <w:sz w:val="24"/>
          <w:szCs w:val="24"/>
        </w:rPr>
      </w:pPr>
    </w:p>
    <w:p w:rsidR="00F830A7" w:rsidRPr="00482976" w:rsidRDefault="00F830A7" w:rsidP="00F830A7">
      <w:pPr>
        <w:widowControl w:val="0"/>
        <w:autoSpaceDE w:val="0"/>
        <w:autoSpaceDN w:val="0"/>
        <w:adjustRightInd w:val="0"/>
        <w:spacing w:after="0" w:line="276" w:lineRule="auto"/>
        <w:rPr>
          <w:rFonts w:ascii="Garamond" w:eastAsia="MS Mincho" w:hAnsi="Garamond" w:cs="Times New Roman"/>
          <w:b/>
          <w:color w:val="000000"/>
          <w:sz w:val="24"/>
          <w:szCs w:val="24"/>
        </w:rPr>
      </w:pPr>
      <w:r w:rsidRPr="00482976">
        <w:rPr>
          <w:rFonts w:ascii="Garamond" w:eastAsia="MS Mincho" w:hAnsi="Garamond" w:cs="Times New Roman"/>
          <w:b/>
          <w:color w:val="000000"/>
          <w:sz w:val="24"/>
          <w:szCs w:val="24"/>
        </w:rPr>
        <w:t>Book Chapters</w:t>
      </w:r>
    </w:p>
    <w:p w:rsidR="00F830A7" w:rsidRPr="00482976" w:rsidRDefault="00F830A7" w:rsidP="00F830A7">
      <w:pPr>
        <w:widowControl w:val="0"/>
        <w:autoSpaceDE w:val="0"/>
        <w:autoSpaceDN w:val="0"/>
        <w:adjustRightInd w:val="0"/>
        <w:spacing w:after="0" w:line="276" w:lineRule="auto"/>
        <w:rPr>
          <w:rFonts w:ascii="Garamond" w:eastAsia="MS Mincho" w:hAnsi="Garamond" w:cs="Times New Roman"/>
          <w:b/>
          <w:color w:val="000000"/>
          <w:sz w:val="24"/>
          <w:szCs w:val="24"/>
        </w:rPr>
      </w:pPr>
    </w:p>
    <w:p w:rsidR="00F830A7" w:rsidRPr="00482976" w:rsidRDefault="00F830A7" w:rsidP="00F830A7">
      <w:pPr>
        <w:numPr>
          <w:ilvl w:val="0"/>
          <w:numId w:val="3"/>
        </w:numPr>
        <w:spacing w:after="0" w:line="276" w:lineRule="auto"/>
        <w:ind w:left="714" w:hanging="357"/>
        <w:contextualSpacing/>
        <w:rPr>
          <w:rFonts w:ascii="Garamond" w:eastAsiaTheme="minorEastAsia" w:hAnsi="Garamond" w:cstheme="majorBidi"/>
          <w:bCs/>
          <w:sz w:val="24"/>
          <w:szCs w:val="24"/>
          <w:lang w:val="it-IT"/>
        </w:rPr>
      </w:pPr>
      <w:r w:rsidRPr="00482976">
        <w:rPr>
          <w:rFonts w:ascii="Garamond" w:eastAsiaTheme="minorEastAsia" w:hAnsi="Garamond" w:cstheme="majorBidi"/>
          <w:bCs/>
          <w:sz w:val="24"/>
          <w:szCs w:val="24"/>
          <w:lang w:val="it-IT"/>
        </w:rPr>
        <w:t xml:space="preserve">Karolak, M. and Guta, H. (2015). “Intercultural Communication in the Context of Saudi Arab Tertiary Education”. In R. Raddawi (Ed.), </w:t>
      </w:r>
      <w:r w:rsidRPr="00482976">
        <w:rPr>
          <w:rFonts w:ascii="Garamond" w:eastAsiaTheme="minorEastAsia" w:hAnsi="Garamond" w:cstheme="majorBidi"/>
          <w:bCs/>
          <w:i/>
          <w:sz w:val="24"/>
          <w:szCs w:val="24"/>
          <w:lang w:val="it-IT"/>
        </w:rPr>
        <w:t>Intercultural Communication with Arabs: Studies in Educational, Professional and Societal Contexts</w:t>
      </w:r>
      <w:r w:rsidRPr="00482976">
        <w:rPr>
          <w:rFonts w:ascii="Garamond" w:eastAsiaTheme="minorEastAsia" w:hAnsi="Garamond" w:cstheme="majorBidi"/>
          <w:bCs/>
          <w:sz w:val="24"/>
          <w:szCs w:val="24"/>
          <w:lang w:val="it-IT"/>
        </w:rPr>
        <w:t>. New York: Springer.</w:t>
      </w:r>
    </w:p>
    <w:p w:rsidR="00F830A7" w:rsidRPr="00482976" w:rsidRDefault="00F830A7" w:rsidP="00F830A7">
      <w:pPr>
        <w:widowControl w:val="0"/>
        <w:numPr>
          <w:ilvl w:val="0"/>
          <w:numId w:val="3"/>
        </w:numPr>
        <w:spacing w:after="0" w:line="276" w:lineRule="auto"/>
        <w:ind w:left="714" w:hanging="357"/>
        <w:rPr>
          <w:rFonts w:ascii="Garamond" w:eastAsia="Garamond" w:hAnsi="Garamond"/>
          <w:sz w:val="24"/>
          <w:szCs w:val="24"/>
          <w:lang w:val="it-IT"/>
        </w:rPr>
      </w:pPr>
      <w:r w:rsidRPr="00482976">
        <w:rPr>
          <w:rFonts w:ascii="Garamond" w:eastAsia="Garamond" w:hAnsi="Garamond"/>
          <w:sz w:val="24"/>
          <w:szCs w:val="24"/>
          <w:lang w:val="it-IT"/>
        </w:rPr>
        <w:t>Karolak, M. and Guta, H. (2014). “Social Media and the Forging of a Transnational Shi'a Identity: The Case of the Kingdom of Bahrain”. In </w:t>
      </w:r>
      <w:r w:rsidRPr="00482976">
        <w:rPr>
          <w:rFonts w:ascii="Garamond" w:eastAsia="Garamond" w:hAnsi="Garamond"/>
          <w:sz w:val="21"/>
          <w:szCs w:val="21"/>
        </w:rPr>
        <w:fldChar w:fldCharType="begin"/>
      </w:r>
      <w:r w:rsidRPr="00482976">
        <w:rPr>
          <w:rFonts w:ascii="Garamond" w:eastAsia="Garamond" w:hAnsi="Garamond"/>
          <w:sz w:val="21"/>
          <w:szCs w:val="21"/>
        </w:rPr>
        <w:instrText xml:space="preserve"> HYPERLINK "http://www.amazon.com/s/ref=dp_byline_sr_book_1?ie=UTF8&amp;field-author=Mazhar+al-Zo%27oby&amp;search-alias=books&amp;text=Mazhar+al-Zo%27oby&amp;sort=relevancerank" </w:instrText>
      </w:r>
      <w:r w:rsidRPr="00482976">
        <w:rPr>
          <w:rFonts w:ascii="Garamond" w:eastAsia="Garamond" w:hAnsi="Garamond"/>
          <w:sz w:val="21"/>
          <w:szCs w:val="21"/>
        </w:rPr>
        <w:fldChar w:fldCharType="separate"/>
      </w:r>
      <w:r w:rsidRPr="00482976">
        <w:rPr>
          <w:rFonts w:ascii="Garamond" w:eastAsia="Garamond" w:hAnsi="Garamond"/>
          <w:sz w:val="24"/>
          <w:szCs w:val="24"/>
          <w:lang w:val="it-IT"/>
        </w:rPr>
        <w:t>Mazhar al-Zo'oby</w:t>
      </w:r>
      <w:r w:rsidRPr="00482976">
        <w:rPr>
          <w:rFonts w:ascii="Garamond" w:eastAsia="Garamond" w:hAnsi="Garamond"/>
          <w:sz w:val="24"/>
          <w:szCs w:val="24"/>
          <w:lang w:val="it-IT"/>
        </w:rPr>
        <w:fldChar w:fldCharType="end"/>
      </w:r>
      <w:r w:rsidRPr="00482976">
        <w:rPr>
          <w:rFonts w:ascii="Garamond" w:eastAsia="Garamond" w:hAnsi="Garamond"/>
          <w:sz w:val="24"/>
          <w:szCs w:val="24"/>
          <w:lang w:val="it-IT"/>
        </w:rPr>
        <w:t> and </w:t>
      </w:r>
      <w:hyperlink r:id="rId5" w:history="1">
        <w:r w:rsidRPr="00482976">
          <w:rPr>
            <w:rFonts w:ascii="Garamond" w:eastAsia="Garamond" w:hAnsi="Garamond"/>
            <w:sz w:val="24"/>
            <w:szCs w:val="24"/>
            <w:lang w:val="it-IT"/>
          </w:rPr>
          <w:t>Birol Baskan</w:t>
        </w:r>
      </w:hyperlink>
      <w:r w:rsidRPr="00482976">
        <w:rPr>
          <w:rFonts w:ascii="Garamond" w:eastAsia="Garamond" w:hAnsi="Garamond"/>
          <w:sz w:val="24"/>
          <w:szCs w:val="24"/>
          <w:lang w:val="it-IT"/>
        </w:rPr>
        <w:t xml:space="preserve"> (Eds), </w:t>
      </w:r>
      <w:r w:rsidRPr="00482976">
        <w:rPr>
          <w:rFonts w:ascii="Garamond" w:eastAsia="Garamond" w:hAnsi="Garamond"/>
          <w:i/>
          <w:sz w:val="24"/>
          <w:szCs w:val="24"/>
          <w:lang w:val="it-IT"/>
        </w:rPr>
        <w:t>State-Society Relations in the Arab Gulf States</w:t>
      </w:r>
      <w:r w:rsidRPr="00482976">
        <w:rPr>
          <w:rFonts w:ascii="Garamond" w:eastAsia="Garamond" w:hAnsi="Garamond"/>
          <w:sz w:val="24"/>
          <w:szCs w:val="24"/>
          <w:lang w:val="it-IT"/>
        </w:rPr>
        <w:t>. Germany: Gerlach Press.</w:t>
      </w:r>
    </w:p>
    <w:p w:rsidR="00F830A7" w:rsidRPr="00482976" w:rsidRDefault="00F830A7" w:rsidP="00F830A7">
      <w:pPr>
        <w:widowControl w:val="0"/>
        <w:numPr>
          <w:ilvl w:val="0"/>
          <w:numId w:val="3"/>
        </w:numPr>
        <w:spacing w:after="0" w:line="276" w:lineRule="auto"/>
        <w:ind w:left="714" w:hanging="357"/>
        <w:rPr>
          <w:rFonts w:ascii="Garamond" w:eastAsia="Garamond" w:hAnsi="Garamond"/>
          <w:sz w:val="24"/>
          <w:szCs w:val="24"/>
          <w:lang w:val="it-IT"/>
        </w:rPr>
      </w:pPr>
      <w:r w:rsidRPr="00482976">
        <w:rPr>
          <w:rFonts w:ascii="Garamond" w:eastAsia="Garamond" w:hAnsi="Garamond"/>
          <w:sz w:val="24"/>
          <w:szCs w:val="24"/>
          <w:lang w:val="it-IT"/>
        </w:rPr>
        <w:t xml:space="preserve">Karolak, M., Guta, H. and Alexander, N. (2013). “Fluid Masculinities? Case Study of the Kingdom of Bahrain”. In J . Gelfer (Ed.) </w:t>
      </w:r>
      <w:r w:rsidRPr="00482976">
        <w:rPr>
          <w:rFonts w:ascii="Garamond" w:eastAsia="Garamond" w:hAnsi="Garamond"/>
          <w:i/>
          <w:sz w:val="24"/>
          <w:szCs w:val="24"/>
          <w:lang w:val="it-IT"/>
        </w:rPr>
        <w:t>Masculinities in a Global Era</w:t>
      </w:r>
      <w:r w:rsidRPr="00482976">
        <w:rPr>
          <w:rFonts w:ascii="Garamond" w:eastAsia="Garamond" w:hAnsi="Garamond"/>
          <w:sz w:val="24"/>
          <w:szCs w:val="24"/>
          <w:lang w:val="it-IT"/>
        </w:rPr>
        <w:t>. Springer’s International and Cultural Psychology series.</w:t>
      </w:r>
    </w:p>
    <w:p w:rsidR="00F830A7" w:rsidRPr="00482976" w:rsidRDefault="00F830A7" w:rsidP="00F830A7">
      <w:pPr>
        <w:widowControl w:val="0"/>
        <w:numPr>
          <w:ilvl w:val="0"/>
          <w:numId w:val="3"/>
        </w:numPr>
        <w:spacing w:after="0" w:line="276" w:lineRule="auto"/>
        <w:ind w:left="714" w:hanging="357"/>
        <w:rPr>
          <w:rFonts w:ascii="Garamond" w:eastAsia="Garamond" w:hAnsi="Garamond"/>
          <w:sz w:val="24"/>
          <w:szCs w:val="24"/>
        </w:rPr>
      </w:pPr>
      <w:r w:rsidRPr="00482976">
        <w:rPr>
          <w:rFonts w:ascii="Garamond" w:eastAsia="Garamond" w:hAnsi="Garamond"/>
          <w:sz w:val="24"/>
          <w:szCs w:val="24"/>
          <w:lang w:val="it-IT"/>
        </w:rPr>
        <w:t>Sadiq, H. Guta, H. and Noorzai, R.</w:t>
      </w:r>
      <w:r w:rsidRPr="00482976">
        <w:rPr>
          <w:rFonts w:ascii="Garamond" w:eastAsia="Garamond" w:hAnsi="Garamond"/>
          <w:sz w:val="24"/>
          <w:szCs w:val="24"/>
          <w:lang w:val="it-IT" w:eastAsia="zh-CN"/>
        </w:rPr>
        <w:t xml:space="preserve"> </w:t>
      </w:r>
      <w:r w:rsidRPr="00482976">
        <w:rPr>
          <w:rFonts w:ascii="Garamond" w:eastAsia="Garamond" w:hAnsi="Garamond"/>
          <w:sz w:val="24"/>
          <w:szCs w:val="24"/>
          <w:lang w:val="it-IT"/>
        </w:rPr>
        <w:t>(2011). “</w:t>
      </w:r>
      <w:r w:rsidRPr="00482976">
        <w:rPr>
          <w:rFonts w:ascii="Garamond" w:eastAsia="Garamond" w:hAnsi="Garamond"/>
          <w:sz w:val="24"/>
          <w:szCs w:val="24"/>
        </w:rPr>
        <w:t>Communication Technologies in the Arsenal of Al Qaeda and the Taliban: Why the West is Not Winning the War on Terror”. In Fortner, B. and Fackler, M. (</w:t>
      </w:r>
      <w:proofErr w:type="spellStart"/>
      <w:r w:rsidRPr="00482976">
        <w:rPr>
          <w:rFonts w:ascii="Garamond" w:eastAsia="Garamond" w:hAnsi="Garamond"/>
          <w:sz w:val="24"/>
          <w:szCs w:val="24"/>
        </w:rPr>
        <w:t>Eds</w:t>
      </w:r>
      <w:proofErr w:type="spellEnd"/>
      <w:r w:rsidRPr="00482976">
        <w:rPr>
          <w:rFonts w:ascii="Garamond" w:eastAsia="Garamond" w:hAnsi="Garamond"/>
          <w:sz w:val="24"/>
          <w:szCs w:val="24"/>
        </w:rPr>
        <w:t xml:space="preserve">), </w:t>
      </w:r>
      <w:proofErr w:type="gramStart"/>
      <w:r w:rsidRPr="00482976">
        <w:rPr>
          <w:rFonts w:ascii="Garamond" w:eastAsia="Garamond" w:hAnsi="Garamond"/>
          <w:i/>
          <w:sz w:val="24"/>
          <w:szCs w:val="24"/>
        </w:rPr>
        <w:t>The</w:t>
      </w:r>
      <w:proofErr w:type="gramEnd"/>
      <w:r w:rsidRPr="00482976">
        <w:rPr>
          <w:rFonts w:ascii="Garamond" w:eastAsia="Garamond" w:hAnsi="Garamond"/>
          <w:i/>
          <w:sz w:val="24"/>
          <w:szCs w:val="24"/>
        </w:rPr>
        <w:t xml:space="preserve"> Handbook of Global Communication and Media Ethics</w:t>
      </w:r>
      <w:r w:rsidRPr="00482976">
        <w:rPr>
          <w:rFonts w:ascii="Garamond" w:eastAsia="Garamond" w:hAnsi="Garamond"/>
          <w:sz w:val="24"/>
          <w:szCs w:val="24"/>
        </w:rPr>
        <w:t>. Malden, MA: Wiley-Blackwell.</w:t>
      </w:r>
    </w:p>
    <w:p w:rsidR="00F830A7" w:rsidRPr="00482976" w:rsidRDefault="00F830A7" w:rsidP="00F830A7">
      <w:pPr>
        <w:widowControl w:val="0"/>
        <w:numPr>
          <w:ilvl w:val="0"/>
          <w:numId w:val="3"/>
        </w:numPr>
        <w:spacing w:after="0" w:line="276" w:lineRule="auto"/>
        <w:ind w:left="714" w:hanging="357"/>
        <w:rPr>
          <w:rFonts w:ascii="Garamond" w:eastAsia="Garamond" w:hAnsi="Garamond"/>
          <w:sz w:val="24"/>
          <w:szCs w:val="24"/>
        </w:rPr>
      </w:pPr>
      <w:r w:rsidRPr="00482976">
        <w:rPr>
          <w:rFonts w:ascii="Garamond" w:eastAsia="Garamond" w:hAnsi="Garamond"/>
          <w:sz w:val="24"/>
          <w:szCs w:val="24"/>
        </w:rPr>
        <w:t>Sadig, H. and Guta, H. (2011). “Peace Communication in Sudan: Towards Infusion of a New Islamic Perspective”. In Fortner, B. and Fackler, M. (</w:t>
      </w:r>
      <w:proofErr w:type="spellStart"/>
      <w:r w:rsidRPr="00482976">
        <w:rPr>
          <w:rFonts w:ascii="Garamond" w:eastAsia="Garamond" w:hAnsi="Garamond"/>
          <w:sz w:val="24"/>
          <w:szCs w:val="24"/>
        </w:rPr>
        <w:t>Eds</w:t>
      </w:r>
      <w:proofErr w:type="spellEnd"/>
      <w:r w:rsidRPr="00482976">
        <w:rPr>
          <w:rFonts w:ascii="Garamond" w:eastAsia="Garamond" w:hAnsi="Garamond"/>
          <w:sz w:val="24"/>
          <w:szCs w:val="24"/>
        </w:rPr>
        <w:t xml:space="preserve">), </w:t>
      </w:r>
      <w:proofErr w:type="gramStart"/>
      <w:r w:rsidRPr="00482976">
        <w:rPr>
          <w:rFonts w:ascii="Garamond" w:eastAsia="Garamond" w:hAnsi="Garamond"/>
          <w:i/>
          <w:sz w:val="24"/>
          <w:szCs w:val="24"/>
        </w:rPr>
        <w:t>The</w:t>
      </w:r>
      <w:proofErr w:type="gramEnd"/>
      <w:r w:rsidRPr="00482976">
        <w:rPr>
          <w:rFonts w:ascii="Garamond" w:eastAsia="Garamond" w:hAnsi="Garamond"/>
          <w:i/>
          <w:sz w:val="24"/>
          <w:szCs w:val="24"/>
        </w:rPr>
        <w:t xml:space="preserve"> Handbook of Global Communication and Media Ethics.</w:t>
      </w:r>
      <w:r w:rsidRPr="00482976">
        <w:rPr>
          <w:rFonts w:ascii="Garamond" w:eastAsia="Garamond" w:hAnsi="Garamond"/>
          <w:sz w:val="24"/>
          <w:szCs w:val="24"/>
        </w:rPr>
        <w:t xml:space="preserve"> Malden, MA: Wiley-Blackwell. </w:t>
      </w:r>
    </w:p>
    <w:p w:rsidR="00F830A7" w:rsidRDefault="00F830A7" w:rsidP="00482976">
      <w:pPr>
        <w:widowControl w:val="0"/>
        <w:autoSpaceDE w:val="0"/>
        <w:autoSpaceDN w:val="0"/>
        <w:adjustRightInd w:val="0"/>
        <w:spacing w:after="0" w:line="276" w:lineRule="auto"/>
        <w:rPr>
          <w:rFonts w:ascii="Garamond" w:eastAsia="Garamond" w:hAnsi="Garamond" w:cs="Garamond"/>
          <w:b/>
          <w:bCs/>
          <w:color w:val="000000"/>
          <w:spacing w:val="2"/>
          <w:w w:val="105"/>
          <w:sz w:val="24"/>
          <w:szCs w:val="24"/>
        </w:rPr>
      </w:pPr>
    </w:p>
    <w:p w:rsidR="00482976" w:rsidRPr="00482976" w:rsidRDefault="00482976" w:rsidP="00482976">
      <w:pPr>
        <w:widowControl w:val="0"/>
        <w:autoSpaceDE w:val="0"/>
        <w:autoSpaceDN w:val="0"/>
        <w:adjustRightInd w:val="0"/>
        <w:spacing w:after="0" w:line="276" w:lineRule="auto"/>
        <w:rPr>
          <w:rFonts w:ascii="Garamond" w:eastAsia="Garamond" w:hAnsi="Garamond" w:cs="Garamond"/>
          <w:b/>
          <w:bCs/>
          <w:color w:val="000000"/>
          <w:w w:val="105"/>
          <w:sz w:val="24"/>
          <w:szCs w:val="24"/>
        </w:rPr>
      </w:pPr>
      <w:r w:rsidRPr="00482976">
        <w:rPr>
          <w:rFonts w:ascii="Garamond" w:eastAsia="Garamond" w:hAnsi="Garamond" w:cs="Garamond"/>
          <w:b/>
          <w:bCs/>
          <w:color w:val="000000"/>
          <w:spacing w:val="2"/>
          <w:w w:val="105"/>
          <w:sz w:val="24"/>
          <w:szCs w:val="24"/>
        </w:rPr>
        <w:t>A</w:t>
      </w:r>
      <w:r w:rsidRPr="00482976">
        <w:rPr>
          <w:rFonts w:ascii="Garamond" w:eastAsia="Garamond" w:hAnsi="Garamond" w:cs="Garamond"/>
          <w:b/>
          <w:bCs/>
          <w:color w:val="000000"/>
          <w:spacing w:val="1"/>
          <w:w w:val="105"/>
          <w:sz w:val="24"/>
          <w:szCs w:val="24"/>
        </w:rPr>
        <w:t>r</w:t>
      </w:r>
      <w:r w:rsidRPr="00482976">
        <w:rPr>
          <w:rFonts w:ascii="Garamond" w:eastAsia="Garamond" w:hAnsi="Garamond" w:cs="Garamond"/>
          <w:b/>
          <w:bCs/>
          <w:color w:val="000000"/>
          <w:w w:val="105"/>
          <w:sz w:val="24"/>
          <w:szCs w:val="24"/>
        </w:rPr>
        <w:t>ti</w:t>
      </w:r>
      <w:r w:rsidRPr="00482976">
        <w:rPr>
          <w:rFonts w:ascii="Garamond" w:eastAsia="Garamond" w:hAnsi="Garamond" w:cs="Garamond"/>
          <w:b/>
          <w:bCs/>
          <w:color w:val="000000"/>
          <w:spacing w:val="1"/>
          <w:w w:val="105"/>
          <w:sz w:val="24"/>
          <w:szCs w:val="24"/>
        </w:rPr>
        <w:t>c</w:t>
      </w:r>
      <w:r w:rsidRPr="00482976">
        <w:rPr>
          <w:rFonts w:ascii="Garamond" w:eastAsia="Garamond" w:hAnsi="Garamond" w:cs="Garamond"/>
          <w:b/>
          <w:bCs/>
          <w:color w:val="000000"/>
          <w:w w:val="105"/>
          <w:sz w:val="24"/>
          <w:szCs w:val="24"/>
        </w:rPr>
        <w:t>l</w:t>
      </w:r>
      <w:r w:rsidRPr="00482976">
        <w:rPr>
          <w:rFonts w:ascii="Garamond" w:eastAsia="Garamond" w:hAnsi="Garamond" w:cs="Garamond"/>
          <w:b/>
          <w:bCs/>
          <w:color w:val="000000"/>
          <w:spacing w:val="1"/>
          <w:w w:val="105"/>
          <w:sz w:val="24"/>
          <w:szCs w:val="24"/>
        </w:rPr>
        <w:t>e</w:t>
      </w:r>
      <w:r w:rsidRPr="00482976">
        <w:rPr>
          <w:rFonts w:ascii="Garamond" w:eastAsia="Garamond" w:hAnsi="Garamond" w:cs="Garamond"/>
          <w:b/>
          <w:bCs/>
          <w:color w:val="000000"/>
          <w:w w:val="105"/>
          <w:sz w:val="24"/>
          <w:szCs w:val="24"/>
        </w:rPr>
        <w:t>s</w:t>
      </w:r>
      <w:r w:rsidRPr="00482976">
        <w:rPr>
          <w:rFonts w:ascii="Garamond" w:eastAsia="Garamond" w:hAnsi="Garamond" w:cs="Garamond"/>
          <w:b/>
          <w:bCs/>
          <w:color w:val="000000"/>
          <w:spacing w:val="-14"/>
          <w:w w:val="105"/>
          <w:sz w:val="24"/>
          <w:szCs w:val="24"/>
        </w:rPr>
        <w:t xml:space="preserve"> </w:t>
      </w:r>
      <w:r w:rsidRPr="00482976">
        <w:rPr>
          <w:rFonts w:ascii="Garamond" w:eastAsia="Garamond" w:hAnsi="Garamond" w:cs="Garamond"/>
          <w:b/>
          <w:bCs/>
          <w:color w:val="000000"/>
          <w:w w:val="105"/>
          <w:sz w:val="24"/>
          <w:szCs w:val="24"/>
        </w:rPr>
        <w:t>in</w:t>
      </w:r>
      <w:r w:rsidRPr="00482976">
        <w:rPr>
          <w:rFonts w:ascii="Garamond" w:eastAsia="Garamond" w:hAnsi="Garamond" w:cs="Garamond"/>
          <w:b/>
          <w:bCs/>
          <w:color w:val="000000"/>
          <w:w w:val="103"/>
          <w:sz w:val="24"/>
          <w:szCs w:val="24"/>
        </w:rPr>
        <w:t xml:space="preserve"> </w:t>
      </w:r>
      <w:r w:rsidRPr="00482976">
        <w:rPr>
          <w:rFonts w:ascii="Garamond" w:eastAsia="Garamond" w:hAnsi="Garamond" w:cs="Garamond"/>
          <w:b/>
          <w:bCs/>
          <w:color w:val="000000"/>
          <w:spacing w:val="2"/>
          <w:w w:val="105"/>
          <w:sz w:val="24"/>
          <w:szCs w:val="24"/>
        </w:rPr>
        <w:t>R</w:t>
      </w:r>
      <w:r w:rsidRPr="00482976">
        <w:rPr>
          <w:rFonts w:ascii="Garamond" w:eastAsia="Garamond" w:hAnsi="Garamond" w:cs="Garamond"/>
          <w:b/>
          <w:bCs/>
          <w:color w:val="000000"/>
          <w:spacing w:val="1"/>
          <w:w w:val="105"/>
          <w:sz w:val="24"/>
          <w:szCs w:val="24"/>
        </w:rPr>
        <w:t>eferee</w:t>
      </w:r>
      <w:r w:rsidRPr="00482976">
        <w:rPr>
          <w:rFonts w:ascii="Garamond" w:eastAsia="Garamond" w:hAnsi="Garamond" w:cs="Garamond"/>
          <w:b/>
          <w:bCs/>
          <w:color w:val="000000"/>
          <w:w w:val="105"/>
          <w:sz w:val="24"/>
          <w:szCs w:val="24"/>
        </w:rPr>
        <w:t>d</w:t>
      </w:r>
      <w:r w:rsidRPr="00482976">
        <w:rPr>
          <w:rFonts w:ascii="Garamond" w:eastAsia="Garamond" w:hAnsi="Garamond" w:cs="Garamond"/>
          <w:b/>
          <w:bCs/>
          <w:color w:val="000000"/>
          <w:w w:val="103"/>
          <w:sz w:val="24"/>
          <w:szCs w:val="24"/>
        </w:rPr>
        <w:t xml:space="preserve"> </w:t>
      </w:r>
      <w:r w:rsidRPr="00482976">
        <w:rPr>
          <w:rFonts w:ascii="Garamond" w:eastAsia="Garamond" w:hAnsi="Garamond" w:cs="Garamond"/>
          <w:b/>
          <w:bCs/>
          <w:color w:val="000000"/>
          <w:spacing w:val="1"/>
          <w:w w:val="105"/>
          <w:sz w:val="24"/>
          <w:szCs w:val="24"/>
        </w:rPr>
        <w:t>Journa</w:t>
      </w:r>
      <w:r w:rsidRPr="00482976">
        <w:rPr>
          <w:rFonts w:ascii="Garamond" w:eastAsia="Garamond" w:hAnsi="Garamond" w:cs="Garamond"/>
          <w:b/>
          <w:bCs/>
          <w:color w:val="000000"/>
          <w:w w:val="105"/>
          <w:sz w:val="24"/>
          <w:szCs w:val="24"/>
        </w:rPr>
        <w:t>ls</w:t>
      </w:r>
    </w:p>
    <w:p w:rsidR="00482976" w:rsidRPr="00482976" w:rsidRDefault="00482976" w:rsidP="00482976">
      <w:pPr>
        <w:numPr>
          <w:ilvl w:val="0"/>
          <w:numId w:val="1"/>
        </w:numPr>
        <w:spacing w:after="0" w:line="276" w:lineRule="auto"/>
        <w:contextualSpacing/>
        <w:rPr>
          <w:rFonts w:ascii="Garamond" w:eastAsiaTheme="minorEastAsia" w:hAnsi="Garamond" w:cstheme="majorBidi"/>
          <w:bCs/>
          <w:sz w:val="24"/>
          <w:szCs w:val="24"/>
        </w:rPr>
      </w:pPr>
      <w:r w:rsidRPr="00482976">
        <w:rPr>
          <w:rFonts w:ascii="Garamond" w:eastAsiaTheme="minorEastAsia" w:hAnsi="Garamond" w:cstheme="majorBidi"/>
          <w:bCs/>
          <w:sz w:val="24"/>
          <w:szCs w:val="24"/>
        </w:rPr>
        <w:t xml:space="preserve">Guta, H. (forthcoming). Saudi women as decision makers: analyzing the image of the female political participation in Saudi Arabia. </w:t>
      </w:r>
      <w:proofErr w:type="spellStart"/>
      <w:r w:rsidRPr="00482976">
        <w:rPr>
          <w:rFonts w:ascii="Garamond" w:eastAsiaTheme="minorEastAsia" w:hAnsi="Garamond" w:cstheme="majorBidi"/>
          <w:bCs/>
          <w:sz w:val="24"/>
          <w:szCs w:val="24"/>
        </w:rPr>
        <w:t>Hawwa</w:t>
      </w:r>
      <w:proofErr w:type="spellEnd"/>
      <w:r w:rsidRPr="00482976">
        <w:rPr>
          <w:rFonts w:ascii="Garamond" w:eastAsiaTheme="minorEastAsia" w:hAnsi="Garamond" w:cstheme="majorBidi"/>
          <w:bCs/>
          <w:sz w:val="24"/>
          <w:szCs w:val="24"/>
        </w:rPr>
        <w:t xml:space="preserve">: </w:t>
      </w:r>
      <w:r w:rsidRPr="00482976">
        <w:rPr>
          <w:rFonts w:ascii="Garamond" w:eastAsiaTheme="minorEastAsia" w:hAnsi="Garamond" w:cstheme="majorBidi"/>
          <w:bCs/>
          <w:i/>
          <w:iCs/>
          <w:sz w:val="24"/>
          <w:szCs w:val="24"/>
        </w:rPr>
        <w:t>Journal of Women of the Middle East and the Islamic World</w:t>
      </w:r>
      <w:r w:rsidRPr="00482976">
        <w:rPr>
          <w:rFonts w:ascii="Garamond" w:eastAsiaTheme="minorEastAsia" w:hAnsi="Garamond" w:cstheme="majorBidi"/>
          <w:bCs/>
          <w:sz w:val="24"/>
          <w:szCs w:val="24"/>
        </w:rPr>
        <w:t xml:space="preserve"> (with </w:t>
      </w:r>
      <w:proofErr w:type="spellStart"/>
      <w:r w:rsidRPr="00482976">
        <w:rPr>
          <w:rFonts w:ascii="Garamond" w:eastAsiaTheme="minorEastAsia" w:hAnsi="Garamond" w:cstheme="majorBidi"/>
          <w:bCs/>
          <w:sz w:val="24"/>
          <w:szCs w:val="24"/>
        </w:rPr>
        <w:t>Karolak</w:t>
      </w:r>
      <w:proofErr w:type="spellEnd"/>
      <w:r w:rsidRPr="00482976">
        <w:rPr>
          <w:rFonts w:ascii="Garamond" w:eastAsiaTheme="minorEastAsia" w:hAnsi="Garamond" w:cstheme="majorBidi"/>
          <w:bCs/>
          <w:sz w:val="24"/>
          <w:szCs w:val="24"/>
        </w:rPr>
        <w:t>, M.)</w:t>
      </w:r>
    </w:p>
    <w:p w:rsidR="00482976" w:rsidRPr="00482976" w:rsidRDefault="00482976" w:rsidP="00482976">
      <w:pPr>
        <w:numPr>
          <w:ilvl w:val="0"/>
          <w:numId w:val="1"/>
        </w:numPr>
        <w:spacing w:after="0" w:line="276" w:lineRule="auto"/>
        <w:contextualSpacing/>
        <w:rPr>
          <w:rFonts w:ascii="Garamond" w:eastAsiaTheme="minorEastAsia" w:hAnsi="Garamond" w:cstheme="majorBidi"/>
          <w:bCs/>
          <w:sz w:val="24"/>
          <w:szCs w:val="24"/>
        </w:rPr>
      </w:pPr>
      <w:r w:rsidRPr="00482976">
        <w:rPr>
          <w:rFonts w:ascii="Garamond" w:eastAsiaTheme="minorEastAsia" w:hAnsi="Garamond" w:cstheme="majorBidi"/>
          <w:bCs/>
          <w:sz w:val="24"/>
          <w:szCs w:val="24"/>
        </w:rPr>
        <w:t xml:space="preserve">Guta, H. and </w:t>
      </w:r>
      <w:proofErr w:type="spellStart"/>
      <w:r w:rsidRPr="00482976">
        <w:rPr>
          <w:rFonts w:ascii="Garamond" w:eastAsiaTheme="minorEastAsia" w:hAnsi="Garamond" w:cstheme="majorBidi"/>
          <w:bCs/>
          <w:sz w:val="24"/>
          <w:szCs w:val="24"/>
        </w:rPr>
        <w:t>Karolak</w:t>
      </w:r>
      <w:proofErr w:type="spellEnd"/>
      <w:r w:rsidRPr="00482976">
        <w:rPr>
          <w:rFonts w:ascii="Garamond" w:eastAsiaTheme="minorEastAsia" w:hAnsi="Garamond" w:cstheme="majorBidi"/>
          <w:bCs/>
          <w:sz w:val="24"/>
          <w:szCs w:val="24"/>
        </w:rPr>
        <w:t xml:space="preserve">, M. (2015). “Veiling and Blogging: Social Media as Sites of Identity Negotiation and Expression among Saudi Women”. </w:t>
      </w:r>
      <w:r w:rsidRPr="00482976">
        <w:rPr>
          <w:rFonts w:ascii="Garamond" w:eastAsiaTheme="minorEastAsia" w:hAnsi="Garamond" w:cstheme="majorBidi"/>
          <w:bCs/>
          <w:i/>
          <w:sz w:val="24"/>
          <w:szCs w:val="24"/>
        </w:rPr>
        <w:t>Journal of International Women's Studies</w:t>
      </w:r>
      <w:r w:rsidRPr="00482976">
        <w:rPr>
          <w:rFonts w:ascii="Garamond" w:eastAsiaTheme="minorEastAsia" w:hAnsi="Garamond" w:cstheme="majorBidi"/>
          <w:bCs/>
          <w:sz w:val="24"/>
          <w:szCs w:val="24"/>
        </w:rPr>
        <w:t xml:space="preserve">, 16 (2) (with </w:t>
      </w:r>
      <w:proofErr w:type="spellStart"/>
      <w:r w:rsidRPr="00482976">
        <w:rPr>
          <w:rFonts w:ascii="Garamond" w:eastAsiaTheme="minorEastAsia" w:hAnsi="Garamond" w:cstheme="majorBidi"/>
          <w:bCs/>
          <w:sz w:val="24"/>
          <w:szCs w:val="24"/>
        </w:rPr>
        <w:t>Karolak</w:t>
      </w:r>
      <w:proofErr w:type="spellEnd"/>
      <w:r w:rsidRPr="00482976">
        <w:rPr>
          <w:rFonts w:ascii="Garamond" w:eastAsiaTheme="minorEastAsia" w:hAnsi="Garamond" w:cstheme="majorBidi"/>
          <w:bCs/>
          <w:sz w:val="24"/>
          <w:szCs w:val="24"/>
        </w:rPr>
        <w:t>, M.).</w:t>
      </w:r>
    </w:p>
    <w:p w:rsidR="00482976" w:rsidRPr="00482976" w:rsidRDefault="00482976" w:rsidP="00482976">
      <w:pPr>
        <w:numPr>
          <w:ilvl w:val="0"/>
          <w:numId w:val="1"/>
        </w:numPr>
        <w:spacing w:after="0" w:line="276" w:lineRule="auto"/>
        <w:contextualSpacing/>
        <w:rPr>
          <w:rFonts w:ascii="Garamond" w:eastAsiaTheme="minorEastAsia" w:hAnsi="Garamond" w:cstheme="majorBidi"/>
          <w:bCs/>
          <w:sz w:val="24"/>
          <w:szCs w:val="24"/>
        </w:rPr>
      </w:pPr>
      <w:r w:rsidRPr="00482976">
        <w:rPr>
          <w:rFonts w:ascii="Garamond" w:eastAsiaTheme="minorEastAsia" w:hAnsi="Garamond" w:cstheme="majorBidi"/>
          <w:bCs/>
          <w:sz w:val="24"/>
          <w:szCs w:val="24"/>
          <w:lang w:val="it-IT"/>
        </w:rPr>
        <w:t xml:space="preserve">Guta, H. (2014). “Gender Differences of Perceived Leadership Skills among Saudi Students”. </w:t>
      </w:r>
      <w:r w:rsidRPr="00482976">
        <w:rPr>
          <w:rFonts w:ascii="Garamond" w:eastAsiaTheme="minorEastAsia" w:hAnsi="Garamond" w:cstheme="majorBidi"/>
          <w:bCs/>
          <w:i/>
          <w:iCs/>
          <w:sz w:val="24"/>
          <w:szCs w:val="24"/>
          <w:lang w:val="it-IT"/>
        </w:rPr>
        <w:t>Advancing Women in Leadership Journal</w:t>
      </w:r>
      <w:r w:rsidRPr="00482976">
        <w:rPr>
          <w:rFonts w:ascii="Garamond" w:eastAsiaTheme="minorEastAsia" w:hAnsi="Garamond" w:cstheme="majorBidi"/>
          <w:bCs/>
          <w:iCs/>
          <w:sz w:val="24"/>
          <w:szCs w:val="24"/>
          <w:lang w:val="it-IT"/>
        </w:rPr>
        <w:t>, 34</w:t>
      </w:r>
      <w:r w:rsidRPr="00482976">
        <w:rPr>
          <w:rFonts w:ascii="Garamond" w:eastAsiaTheme="minorEastAsia" w:hAnsi="Garamond" w:cstheme="majorBidi"/>
          <w:bCs/>
          <w:sz w:val="24"/>
          <w:szCs w:val="24"/>
          <w:lang w:val="it-IT"/>
        </w:rPr>
        <w:t>, pp. 11</w:t>
      </w:r>
      <w:r w:rsidRPr="00482976">
        <w:rPr>
          <w:rFonts w:ascii="Garamond" w:eastAsiaTheme="minorEastAsia" w:hAnsi="Garamond"/>
          <w:sz w:val="21"/>
          <w:szCs w:val="21"/>
        </w:rPr>
        <w:t>–</w:t>
      </w:r>
      <w:r w:rsidRPr="00482976">
        <w:rPr>
          <w:rFonts w:ascii="Garamond" w:eastAsiaTheme="minorEastAsia" w:hAnsi="Garamond" w:cstheme="majorBidi"/>
          <w:bCs/>
          <w:sz w:val="24"/>
          <w:szCs w:val="24"/>
          <w:lang w:val="it-IT"/>
        </w:rPr>
        <w:t>18</w:t>
      </w:r>
      <w:r w:rsidRPr="00482976">
        <w:rPr>
          <w:rFonts w:ascii="Garamond" w:eastAsiaTheme="minorEastAsia" w:hAnsi="Garamond" w:cstheme="majorBidi"/>
          <w:bCs/>
          <w:sz w:val="24"/>
          <w:szCs w:val="24"/>
        </w:rPr>
        <w:t>. (</w:t>
      </w:r>
      <w:proofErr w:type="gramStart"/>
      <w:r w:rsidRPr="00482976">
        <w:rPr>
          <w:rFonts w:ascii="Garamond" w:eastAsiaTheme="minorEastAsia" w:hAnsi="Garamond" w:cstheme="majorBidi"/>
          <w:bCs/>
          <w:sz w:val="24"/>
          <w:szCs w:val="24"/>
        </w:rPr>
        <w:t>with</w:t>
      </w:r>
      <w:proofErr w:type="gramEnd"/>
      <w:r w:rsidRPr="00482976">
        <w:rPr>
          <w:rFonts w:ascii="Garamond" w:eastAsiaTheme="minorEastAsia" w:hAnsi="Garamond" w:cstheme="majorBidi"/>
          <w:bCs/>
          <w:sz w:val="24"/>
          <w:szCs w:val="24"/>
        </w:rPr>
        <w:t xml:space="preserve"> Alexander, N.) </w:t>
      </w:r>
    </w:p>
    <w:p w:rsidR="00482976" w:rsidRPr="00482976" w:rsidRDefault="00482976" w:rsidP="00482976">
      <w:pPr>
        <w:widowControl w:val="0"/>
        <w:autoSpaceDE w:val="0"/>
        <w:autoSpaceDN w:val="0"/>
        <w:adjustRightInd w:val="0"/>
        <w:spacing w:after="0" w:line="276" w:lineRule="auto"/>
        <w:rPr>
          <w:rFonts w:ascii="Garamond" w:eastAsia="Garamond" w:hAnsi="Garamond" w:cs="Garamond"/>
          <w:b/>
          <w:bCs/>
          <w:color w:val="000000"/>
          <w:w w:val="105"/>
          <w:sz w:val="24"/>
          <w:szCs w:val="24"/>
        </w:rPr>
      </w:pPr>
      <w:r w:rsidRPr="00482976">
        <w:rPr>
          <w:rFonts w:ascii="Garamond" w:eastAsia="Garamond" w:hAnsi="Garamond" w:cs="Garamond"/>
          <w:b/>
          <w:bCs/>
          <w:color w:val="000000"/>
          <w:spacing w:val="2"/>
          <w:w w:val="105"/>
          <w:sz w:val="24"/>
          <w:szCs w:val="24"/>
        </w:rPr>
        <w:t>R</w:t>
      </w:r>
      <w:r w:rsidRPr="00482976">
        <w:rPr>
          <w:rFonts w:ascii="Garamond" w:eastAsia="Garamond" w:hAnsi="Garamond" w:cs="Garamond"/>
          <w:b/>
          <w:bCs/>
          <w:color w:val="000000"/>
          <w:spacing w:val="1"/>
          <w:w w:val="105"/>
          <w:sz w:val="24"/>
          <w:szCs w:val="24"/>
        </w:rPr>
        <w:t>eferee</w:t>
      </w:r>
      <w:r w:rsidRPr="00482976">
        <w:rPr>
          <w:rFonts w:ascii="Garamond" w:eastAsia="Garamond" w:hAnsi="Garamond" w:cs="Garamond"/>
          <w:b/>
          <w:bCs/>
          <w:color w:val="000000"/>
          <w:w w:val="105"/>
          <w:sz w:val="24"/>
          <w:szCs w:val="24"/>
        </w:rPr>
        <w:t>d</w:t>
      </w:r>
      <w:r w:rsidRPr="00482976">
        <w:rPr>
          <w:rFonts w:ascii="Garamond" w:eastAsia="Garamond" w:hAnsi="Garamond" w:cs="Garamond"/>
          <w:b/>
          <w:bCs/>
          <w:color w:val="000000"/>
          <w:w w:val="103"/>
          <w:sz w:val="24"/>
          <w:szCs w:val="24"/>
        </w:rPr>
        <w:t xml:space="preserve"> </w:t>
      </w:r>
      <w:r w:rsidRPr="00482976">
        <w:rPr>
          <w:rFonts w:ascii="Garamond" w:eastAsia="Garamond" w:hAnsi="Garamond" w:cs="Garamond"/>
          <w:b/>
          <w:bCs/>
          <w:color w:val="000000"/>
          <w:spacing w:val="1"/>
          <w:sz w:val="24"/>
          <w:szCs w:val="24"/>
        </w:rPr>
        <w:t>C</w:t>
      </w:r>
      <w:r w:rsidRPr="00482976">
        <w:rPr>
          <w:rFonts w:ascii="Garamond" w:eastAsia="Garamond" w:hAnsi="Garamond" w:cs="Garamond"/>
          <w:b/>
          <w:bCs/>
          <w:color w:val="000000"/>
          <w:sz w:val="24"/>
          <w:szCs w:val="24"/>
        </w:rPr>
        <w:t>onference</w:t>
      </w:r>
      <w:r w:rsidRPr="00482976">
        <w:rPr>
          <w:rFonts w:ascii="Garamond" w:eastAsia="Garamond" w:hAnsi="Garamond" w:cs="Garamond"/>
          <w:b/>
          <w:bCs/>
          <w:color w:val="000000"/>
          <w:w w:val="103"/>
          <w:sz w:val="24"/>
          <w:szCs w:val="24"/>
        </w:rPr>
        <w:t xml:space="preserve"> </w:t>
      </w:r>
      <w:r w:rsidRPr="00482976">
        <w:rPr>
          <w:rFonts w:ascii="Garamond" w:eastAsia="Garamond" w:hAnsi="Garamond" w:cs="Garamond"/>
          <w:b/>
          <w:bCs/>
          <w:color w:val="000000"/>
          <w:spacing w:val="1"/>
          <w:w w:val="105"/>
          <w:sz w:val="24"/>
          <w:szCs w:val="24"/>
        </w:rPr>
        <w:t>Paper</w:t>
      </w:r>
      <w:r w:rsidRPr="00482976">
        <w:rPr>
          <w:rFonts w:ascii="Garamond" w:eastAsia="Garamond" w:hAnsi="Garamond" w:cs="Garamond"/>
          <w:b/>
          <w:bCs/>
          <w:color w:val="000000"/>
          <w:w w:val="105"/>
          <w:sz w:val="24"/>
          <w:szCs w:val="24"/>
        </w:rPr>
        <w:t>s</w:t>
      </w:r>
    </w:p>
    <w:p w:rsidR="00482976" w:rsidRPr="00482976" w:rsidRDefault="00482976" w:rsidP="00482976">
      <w:pPr>
        <w:widowControl w:val="0"/>
        <w:autoSpaceDE w:val="0"/>
        <w:autoSpaceDN w:val="0"/>
        <w:adjustRightInd w:val="0"/>
        <w:spacing w:after="0" w:line="276" w:lineRule="auto"/>
        <w:rPr>
          <w:rFonts w:ascii="Garamond" w:eastAsia="Garamond" w:hAnsi="Garamond" w:cs="Garamond"/>
          <w:b/>
          <w:bCs/>
          <w:color w:val="000000"/>
          <w:spacing w:val="2"/>
          <w:w w:val="105"/>
          <w:sz w:val="24"/>
          <w:szCs w:val="24"/>
        </w:rPr>
      </w:pPr>
    </w:p>
    <w:p w:rsidR="00482976" w:rsidRPr="00482976" w:rsidRDefault="00482976" w:rsidP="00482976">
      <w:pPr>
        <w:numPr>
          <w:ilvl w:val="0"/>
          <w:numId w:val="2"/>
        </w:numPr>
        <w:spacing w:after="0" w:line="276" w:lineRule="auto"/>
        <w:contextualSpacing/>
        <w:rPr>
          <w:rFonts w:ascii="Garamond" w:eastAsiaTheme="minorEastAsia" w:hAnsi="Garamond" w:cstheme="majorBidi"/>
          <w:bCs/>
          <w:sz w:val="24"/>
          <w:szCs w:val="24"/>
          <w:lang w:val="it-IT"/>
        </w:rPr>
      </w:pPr>
      <w:r w:rsidRPr="00482976">
        <w:rPr>
          <w:rFonts w:ascii="Garamond" w:eastAsiaTheme="minorEastAsia" w:hAnsi="Garamond" w:cstheme="majorBidi"/>
          <w:bCs/>
          <w:sz w:val="24"/>
          <w:szCs w:val="24"/>
          <w:lang w:val="it-IT"/>
        </w:rPr>
        <w:t>Karolak, M. and Guta, H. (August 2017). “</w:t>
      </w:r>
      <w:r w:rsidRPr="00482976">
        <w:rPr>
          <w:rFonts w:ascii="Garamond" w:eastAsiaTheme="minorEastAsia" w:hAnsi="Garamond" w:cstheme="majorBidi"/>
          <w:sz w:val="24"/>
          <w:szCs w:val="24"/>
        </w:rPr>
        <w:t xml:space="preserve">Saudi Women as Decision Makers: Analyzing the Image of the Female Political Participation in Saudi Arabia”. </w:t>
      </w:r>
      <w:r w:rsidRPr="00482976">
        <w:rPr>
          <w:rFonts w:ascii="Garamond" w:eastAsiaTheme="minorEastAsia" w:hAnsi="Garamond" w:cstheme="majorBidi"/>
          <w:bCs/>
          <w:sz w:val="24"/>
          <w:szCs w:val="24"/>
          <w:lang w:val="it-IT"/>
        </w:rPr>
        <w:t>Gulf Research Meeting (GRM). Cambridge University, Cambridge, UK.</w:t>
      </w:r>
    </w:p>
    <w:p w:rsidR="00482976" w:rsidRPr="00482976" w:rsidRDefault="00482976" w:rsidP="00482976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contextualSpacing/>
        <w:rPr>
          <w:rFonts w:ascii="Garamond" w:eastAsiaTheme="minorEastAsia" w:hAnsi="Garamond" w:cstheme="majorBidi"/>
          <w:bCs/>
          <w:sz w:val="24"/>
          <w:szCs w:val="24"/>
          <w:lang w:val="it-IT"/>
        </w:rPr>
      </w:pPr>
      <w:r w:rsidRPr="00482976">
        <w:rPr>
          <w:rFonts w:ascii="Garamond" w:eastAsiaTheme="minorEastAsia" w:hAnsi="Garamond" w:cstheme="majorBidi"/>
          <w:bCs/>
          <w:sz w:val="24"/>
          <w:szCs w:val="24"/>
          <w:lang w:val="it-IT"/>
        </w:rPr>
        <w:lastRenderedPageBreak/>
        <w:t xml:space="preserve">Guta, H. (October 2016). “Social Media as Sites of Expression and Identity Negogataiation”. Regional Symposium on Social Media and Social Change, Gulf Studies Center, Qatar University, Doha, Qatar. </w:t>
      </w:r>
    </w:p>
    <w:p w:rsidR="00482976" w:rsidRPr="00482976" w:rsidRDefault="00482976" w:rsidP="00482976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contextualSpacing/>
        <w:rPr>
          <w:rFonts w:ascii="Garamond" w:eastAsiaTheme="minorEastAsia" w:hAnsi="Garamond" w:cstheme="majorBidi"/>
          <w:bCs/>
          <w:sz w:val="24"/>
          <w:szCs w:val="24"/>
          <w:lang w:val="it-IT"/>
        </w:rPr>
      </w:pPr>
      <w:r w:rsidRPr="00482976">
        <w:rPr>
          <w:rFonts w:ascii="Garamond" w:eastAsiaTheme="minorEastAsia" w:hAnsi="Garamond" w:cstheme="majorBidi"/>
          <w:bCs/>
          <w:sz w:val="24"/>
          <w:szCs w:val="24"/>
          <w:lang w:val="it-IT"/>
        </w:rPr>
        <w:t>Guta, H. (October, 2015). “Cross-Cultural Encouters with Globalization. Do You Really Understand What I Mean? Politics of Language, and Race in the Multicultural Classroom”. The 20th Annual Conference: “Global Trends and Prospects in Mass Communication”, Arab</w:t>
      </w:r>
      <w:r w:rsidRPr="00482976">
        <w:rPr>
          <w:rFonts w:ascii="Garamond" w:eastAsiaTheme="minorEastAsia" w:hAnsi="Garamond"/>
          <w:sz w:val="21"/>
          <w:szCs w:val="21"/>
        </w:rPr>
        <w:t>–</w:t>
      </w:r>
      <w:r w:rsidRPr="00482976">
        <w:rPr>
          <w:rFonts w:ascii="Garamond" w:eastAsiaTheme="minorEastAsia" w:hAnsi="Garamond" w:cstheme="majorBidi"/>
          <w:bCs/>
          <w:sz w:val="24"/>
          <w:szCs w:val="24"/>
          <w:lang w:val="it-IT"/>
        </w:rPr>
        <w:t>US Association for Communication Educators (AUSACE) in Doha, Qatar.</w:t>
      </w:r>
    </w:p>
    <w:p w:rsidR="00482976" w:rsidRPr="00482976" w:rsidRDefault="00482976" w:rsidP="00482976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contextualSpacing/>
        <w:rPr>
          <w:rFonts w:ascii="Garamond" w:eastAsiaTheme="minorEastAsia" w:hAnsi="Garamond" w:cstheme="majorBidi"/>
          <w:bCs/>
          <w:sz w:val="24"/>
          <w:szCs w:val="24"/>
          <w:lang w:val="it-IT"/>
        </w:rPr>
      </w:pPr>
      <w:r w:rsidRPr="00482976">
        <w:rPr>
          <w:rFonts w:ascii="Garamond" w:eastAsiaTheme="minorEastAsia" w:hAnsi="Garamond" w:cstheme="majorBidi"/>
          <w:bCs/>
          <w:sz w:val="24"/>
          <w:szCs w:val="24"/>
          <w:lang w:val="it-IT"/>
        </w:rPr>
        <w:t>Karolak, M. and Guta, H. (August 2014). “Intercultural Communication in the Context of Saudi Arab Tertiary Education”. International Conference on Teacher Education, Quezon City: Phillipines.</w:t>
      </w:r>
    </w:p>
    <w:p w:rsidR="00482976" w:rsidRPr="00482976" w:rsidRDefault="00482976" w:rsidP="00482976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contextualSpacing/>
        <w:rPr>
          <w:rFonts w:ascii="Garamond" w:eastAsiaTheme="minorEastAsia" w:hAnsi="Garamond" w:cstheme="majorBidi"/>
          <w:bCs/>
          <w:sz w:val="24"/>
          <w:szCs w:val="24"/>
          <w:lang w:val="it-IT"/>
        </w:rPr>
      </w:pPr>
      <w:r w:rsidRPr="00482976">
        <w:rPr>
          <w:rFonts w:ascii="Garamond" w:eastAsiaTheme="minorEastAsia" w:hAnsi="Garamond" w:cstheme="majorBidi"/>
          <w:bCs/>
          <w:sz w:val="24"/>
          <w:szCs w:val="24"/>
          <w:lang w:val="it-IT"/>
        </w:rPr>
        <w:t xml:space="preserve">Guta, H. (April, 2013). “Media, Peace-Building and Post-Conflict Scenarios: The Case of Sudan National Radio”. Media, War and Conflict Conference, Royal Holloway University of London, UK. </w:t>
      </w:r>
    </w:p>
    <w:p w:rsidR="006A4B79" w:rsidRPr="00482976" w:rsidRDefault="006A4B79">
      <w:pPr>
        <w:rPr>
          <w:lang w:val="it-IT"/>
        </w:rPr>
      </w:pPr>
    </w:p>
    <w:sectPr w:rsidR="006A4B79" w:rsidRPr="004829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73B2E"/>
    <w:multiLevelType w:val="hybridMultilevel"/>
    <w:tmpl w:val="AA8647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B3C33"/>
    <w:multiLevelType w:val="hybridMultilevel"/>
    <w:tmpl w:val="573ADA8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147A0"/>
    <w:multiLevelType w:val="hybridMultilevel"/>
    <w:tmpl w:val="AE34B0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976"/>
    <w:rsid w:val="00482976"/>
    <w:rsid w:val="006A4B79"/>
    <w:rsid w:val="006F72DE"/>
    <w:rsid w:val="00F8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C0110C-70BE-4913-9169-FFB8B8EEC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hyperlink" Target="http://www.amazon.com/s/ref=dp_byline_sr_book_2?ie=UTF8&amp;field-author=Birol+Baskan&amp;search-alias=books&amp;text=Birol+Baskan&amp;sort=relevancerank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QPT3VHF6MKWP-83287781-46465</_dlc_DocId>
    <_dlc_DocIdUrl xmlns="4595ca7b-3a15-4971-af5f-cadc29c03e04">
      <Url>https://qataruniversity-prd.qu.edu.qa/_layouts/15/DocIdRedir.aspx?ID=QPT3VHF6MKWP-83287781-46465</Url>
      <Description>QPT3VHF6MKWP-83287781-46465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2" ma:contentTypeDescription="Create a new document." ma:contentTypeScope="" ma:versionID="46fa937b96980ddf7af84dde819730ed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7161056cb75780dae671cf09d7cd8017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0EE70B-773C-4CED-8EC8-013C36D0DFAE}"/>
</file>

<file path=customXml/itemProps2.xml><?xml version="1.0" encoding="utf-8"?>
<ds:datastoreItem xmlns:ds="http://schemas.openxmlformats.org/officeDocument/2006/customXml" ds:itemID="{60D7876C-8916-4723-9D56-C41A65AA87F3}"/>
</file>

<file path=customXml/itemProps3.xml><?xml version="1.0" encoding="utf-8"?>
<ds:datastoreItem xmlns:ds="http://schemas.openxmlformats.org/officeDocument/2006/customXml" ds:itemID="{4118775E-61AD-44EE-AA48-BBC85E64BA7B}"/>
</file>

<file path=customXml/itemProps4.xml><?xml version="1.0" encoding="utf-8"?>
<ds:datastoreItem xmlns:ds="http://schemas.openxmlformats.org/officeDocument/2006/customXml" ds:itemID="{23782694-DF31-43D1-84A7-B412B68B76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Haydar Badawi Sadig</dc:creator>
  <cp:keywords/>
  <dc:description/>
  <cp:lastModifiedBy>Saddek Rabah</cp:lastModifiedBy>
  <cp:revision>2</cp:revision>
  <dcterms:created xsi:type="dcterms:W3CDTF">2018-11-07T04:59:00Z</dcterms:created>
  <dcterms:modified xsi:type="dcterms:W3CDTF">2018-11-07T04:59:00Z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69c54293-0094-4e8a-b186-18394e6ea80f</vt:lpwstr>
  </property>
</Properties>
</file>