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A3" w:rsidRPr="004D0DA3" w:rsidRDefault="004D0DA3" w:rsidP="004D0DA3">
      <w:pPr>
        <w:spacing w:after="0" w:line="276" w:lineRule="auto"/>
        <w:contextualSpacing/>
        <w:rPr>
          <w:rFonts w:ascii="Garamond" w:eastAsiaTheme="minorEastAsia" w:hAnsi="Garamond"/>
          <w:b/>
          <w:sz w:val="24"/>
          <w:szCs w:val="24"/>
          <w:u w:val="single"/>
        </w:rPr>
      </w:pPr>
      <w:bookmarkStart w:id="0" w:name="_GoBack"/>
      <w:bookmarkEnd w:id="0"/>
      <w:r w:rsidRPr="004D0DA3">
        <w:rPr>
          <w:rFonts w:ascii="Garamond" w:eastAsiaTheme="minorEastAsia" w:hAnsi="Garamond"/>
          <w:b/>
          <w:sz w:val="24"/>
          <w:szCs w:val="24"/>
          <w:u w:val="single"/>
        </w:rPr>
        <w:t>Fuad Abdulaziz Mohamed, Lecturer</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r w:rsidRPr="004D0DA3">
        <w:rPr>
          <w:rFonts w:ascii="Garamond" w:eastAsiaTheme="minorEastAsia" w:hAnsi="Garamond"/>
          <w:b/>
          <w:sz w:val="24"/>
          <w:szCs w:val="24"/>
        </w:rPr>
        <w:t xml:space="preserve">Journal Articles </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numPr>
          <w:ilvl w:val="0"/>
          <w:numId w:val="1"/>
        </w:numPr>
        <w:spacing w:after="0" w:line="276" w:lineRule="auto"/>
        <w:ind w:left="714" w:hanging="357"/>
        <w:contextualSpacing/>
        <w:rPr>
          <w:rFonts w:ascii="Garamond" w:eastAsiaTheme="minorEastAsia" w:hAnsi="Garamond"/>
          <w:bCs/>
          <w:sz w:val="24"/>
          <w:szCs w:val="24"/>
        </w:rPr>
      </w:pPr>
      <w:r w:rsidRPr="004D0DA3">
        <w:rPr>
          <w:rFonts w:ascii="Garamond" w:eastAsiaTheme="minorEastAsia" w:hAnsi="Garamond"/>
          <w:bCs/>
          <w:sz w:val="24"/>
          <w:szCs w:val="24"/>
        </w:rPr>
        <w:t>“Effects of New Media on TV: Can we talk about a New Television Language?</w:t>
      </w:r>
      <w:proofErr w:type="gramStart"/>
      <w:r w:rsidRPr="004D0DA3">
        <w:rPr>
          <w:rFonts w:ascii="Garamond" w:eastAsiaTheme="minorEastAsia" w:hAnsi="Garamond"/>
          <w:bCs/>
          <w:sz w:val="24"/>
          <w:szCs w:val="24"/>
        </w:rPr>
        <w:t>”</w:t>
      </w:r>
      <w:r w:rsidRPr="004D0DA3">
        <w:rPr>
          <w:rFonts w:ascii="Garamond" w:eastAsiaTheme="minorEastAsia" w:hAnsi="Garamond"/>
          <w:sz w:val="24"/>
          <w:szCs w:val="24"/>
        </w:rPr>
        <w:t>,</w:t>
      </w:r>
      <w:proofErr w:type="gramEnd"/>
      <w:r w:rsidRPr="004D0DA3">
        <w:rPr>
          <w:rFonts w:ascii="Garamond" w:eastAsiaTheme="minorEastAsia" w:hAnsi="Garamond"/>
          <w:sz w:val="24"/>
          <w:szCs w:val="24"/>
        </w:rPr>
        <w:t xml:space="preserve"> article published by </w:t>
      </w:r>
      <w:r w:rsidRPr="004D0DA3">
        <w:rPr>
          <w:rFonts w:ascii="Garamond" w:eastAsiaTheme="minorEastAsia" w:hAnsi="Garamond"/>
          <w:i/>
          <w:sz w:val="24"/>
          <w:szCs w:val="24"/>
        </w:rPr>
        <w:t>The Journal of Arab TV and Radio</w:t>
      </w:r>
      <w:r w:rsidRPr="004D0DA3">
        <w:rPr>
          <w:rFonts w:ascii="Garamond" w:eastAsiaTheme="minorEastAsia" w:hAnsi="Garamond"/>
          <w:sz w:val="24"/>
          <w:szCs w:val="24"/>
        </w:rPr>
        <w:t>.</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r w:rsidRPr="004D0DA3">
        <w:rPr>
          <w:rFonts w:ascii="Garamond" w:eastAsiaTheme="minorEastAsia" w:hAnsi="Garamond"/>
          <w:b/>
          <w:sz w:val="24"/>
          <w:szCs w:val="24"/>
        </w:rPr>
        <w:t xml:space="preserve">Conference Papers </w:t>
      </w:r>
    </w:p>
    <w:p w:rsidR="004D0DA3" w:rsidRPr="004D0DA3" w:rsidRDefault="004D0DA3" w:rsidP="004D0DA3">
      <w:pPr>
        <w:spacing w:after="0" w:line="276" w:lineRule="auto"/>
        <w:ind w:left="720"/>
        <w:contextualSpacing/>
        <w:rPr>
          <w:rFonts w:ascii="Garamond" w:eastAsiaTheme="minorEastAsia" w:hAnsi="Garamond"/>
          <w:bCs/>
          <w:sz w:val="24"/>
          <w:szCs w:val="24"/>
        </w:rPr>
      </w:pPr>
    </w:p>
    <w:p w:rsidR="004D0DA3" w:rsidRPr="004D0DA3" w:rsidRDefault="004D0DA3" w:rsidP="004D0DA3">
      <w:pPr>
        <w:widowControl w:val="0"/>
        <w:numPr>
          <w:ilvl w:val="0"/>
          <w:numId w:val="2"/>
        </w:numPr>
        <w:spacing w:line="276" w:lineRule="auto"/>
        <w:ind w:left="986" w:hanging="629"/>
        <w:rPr>
          <w:rFonts w:ascii="Garamond" w:eastAsia="Garamond" w:hAnsi="Garamond"/>
          <w:sz w:val="24"/>
          <w:szCs w:val="24"/>
        </w:rPr>
      </w:pPr>
      <w:r w:rsidRPr="004D0DA3">
        <w:rPr>
          <w:rFonts w:ascii="Garamond" w:eastAsia="Garamond" w:hAnsi="Garamond"/>
          <w:sz w:val="21"/>
          <w:szCs w:val="21"/>
        </w:rPr>
        <w:t>“</w:t>
      </w:r>
      <w:r w:rsidRPr="004D0DA3">
        <w:rPr>
          <w:rFonts w:ascii="Garamond" w:eastAsia="Garamond" w:hAnsi="Garamond"/>
          <w:sz w:val="24"/>
          <w:szCs w:val="24"/>
        </w:rPr>
        <w:t xml:space="preserve">Utilization of 3D Mapping Techniques for the Conservation of Sana’a and </w:t>
      </w:r>
      <w:proofErr w:type="spellStart"/>
      <w:r w:rsidRPr="004D0DA3">
        <w:rPr>
          <w:rFonts w:ascii="Garamond" w:eastAsia="Garamond" w:hAnsi="Garamond"/>
          <w:sz w:val="24"/>
          <w:szCs w:val="24"/>
        </w:rPr>
        <w:t>Zabid</w:t>
      </w:r>
      <w:proofErr w:type="spellEnd"/>
      <w:r w:rsidRPr="004D0DA3">
        <w:rPr>
          <w:rFonts w:ascii="Garamond" w:eastAsia="Garamond" w:hAnsi="Garamond"/>
          <w:sz w:val="24"/>
          <w:szCs w:val="24"/>
        </w:rPr>
        <w:t xml:space="preserve"> Cultural Heritage”, paper accepted for CIPA Conference, Carleton University, Ottawa.</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r w:rsidRPr="004D0DA3">
        <w:rPr>
          <w:rFonts w:ascii="Garamond" w:eastAsiaTheme="minorEastAsia" w:hAnsi="Garamond"/>
          <w:b/>
          <w:sz w:val="24"/>
          <w:szCs w:val="24"/>
        </w:rPr>
        <w:t xml:space="preserve">Creative Works </w:t>
      </w:r>
    </w:p>
    <w:p w:rsidR="004D0DA3" w:rsidRPr="004D0DA3" w:rsidRDefault="004D0DA3" w:rsidP="004D0DA3">
      <w:pPr>
        <w:spacing w:after="0" w:line="276" w:lineRule="auto"/>
        <w:contextualSpacing/>
        <w:rPr>
          <w:rFonts w:ascii="Garamond" w:eastAsiaTheme="minorEastAsia" w:hAnsi="Garamond"/>
          <w:bCs/>
          <w:sz w:val="24"/>
          <w:szCs w:val="24"/>
        </w:rPr>
      </w:pPr>
    </w:p>
    <w:p w:rsidR="004D0DA3" w:rsidRPr="004D0DA3" w:rsidRDefault="004D0DA3" w:rsidP="004D0DA3">
      <w:pPr>
        <w:numPr>
          <w:ilvl w:val="0"/>
          <w:numId w:val="1"/>
        </w:numPr>
        <w:spacing w:after="0" w:line="276" w:lineRule="auto"/>
        <w:contextualSpacing/>
        <w:rPr>
          <w:rFonts w:ascii="Garamond" w:eastAsiaTheme="minorEastAsia" w:hAnsi="Garamond"/>
          <w:bCs/>
          <w:sz w:val="24"/>
          <w:szCs w:val="24"/>
        </w:rPr>
      </w:pPr>
      <w:r w:rsidRPr="004D0DA3">
        <w:rPr>
          <w:rFonts w:ascii="Garamond" w:eastAsiaTheme="minorEastAsia" w:hAnsi="Garamond"/>
          <w:bCs/>
          <w:sz w:val="24"/>
          <w:szCs w:val="24"/>
        </w:rPr>
        <w:t>“Sana’a: Symphony of Peace and War”</w:t>
      </w:r>
      <w:r w:rsidRPr="004D0DA3">
        <w:rPr>
          <w:rFonts w:ascii="Garamond" w:eastAsiaTheme="minorEastAsia" w:hAnsi="Garamond"/>
          <w:sz w:val="24"/>
          <w:szCs w:val="24"/>
        </w:rPr>
        <w:t xml:space="preserve"> – city symphony, documentary genre, participated in the peer-reviewed </w:t>
      </w:r>
      <w:proofErr w:type="spellStart"/>
      <w:r w:rsidRPr="004D0DA3">
        <w:rPr>
          <w:rFonts w:ascii="Garamond" w:eastAsiaTheme="minorEastAsia" w:hAnsi="Garamond"/>
          <w:sz w:val="24"/>
          <w:szCs w:val="24"/>
        </w:rPr>
        <w:t>FilmFest</w:t>
      </w:r>
      <w:proofErr w:type="spellEnd"/>
      <w:r w:rsidRPr="004D0DA3">
        <w:rPr>
          <w:rFonts w:ascii="Garamond" w:eastAsiaTheme="minorEastAsia" w:hAnsi="Garamond"/>
          <w:sz w:val="24"/>
          <w:szCs w:val="24"/>
        </w:rPr>
        <w:t xml:space="preserve"> held in Boston, USA in 2016.</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 xml:space="preserve"> “This is UAE”</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film screened at the 66th Annual Conference of IAESTE (International Association for Exchange of Students for Technical Experience) held in Dublin, Ireland. This film won the UAE full membership of IAESTE.</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 xml:space="preserve"> “</w:t>
      </w:r>
      <w:proofErr w:type="spellStart"/>
      <w:r w:rsidRPr="004D0DA3">
        <w:rPr>
          <w:rFonts w:ascii="Garamond" w:eastAsiaTheme="minorEastAsia" w:hAnsi="Garamond"/>
          <w:bCs/>
          <w:sz w:val="24"/>
          <w:szCs w:val="24"/>
        </w:rPr>
        <w:t>UoS</w:t>
      </w:r>
      <w:proofErr w:type="spellEnd"/>
      <w:r w:rsidRPr="004D0DA3">
        <w:rPr>
          <w:rFonts w:ascii="Garamond" w:eastAsiaTheme="minorEastAsia" w:hAnsi="Garamond"/>
          <w:bCs/>
          <w:sz w:val="24"/>
          <w:szCs w:val="24"/>
        </w:rPr>
        <w:t xml:space="preserve"> Alumni: A Loyalty Forum”</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 xml:space="preserve">film that traces and narrates the lives of </w:t>
      </w:r>
      <w:proofErr w:type="spellStart"/>
      <w:r w:rsidRPr="004D0DA3">
        <w:rPr>
          <w:rFonts w:ascii="Garamond" w:eastAsiaTheme="minorEastAsia" w:hAnsi="Garamond"/>
          <w:sz w:val="24"/>
          <w:szCs w:val="24"/>
        </w:rPr>
        <w:t>UoS</w:t>
      </w:r>
      <w:proofErr w:type="spellEnd"/>
      <w:r w:rsidRPr="004D0DA3">
        <w:rPr>
          <w:rFonts w:ascii="Garamond" w:eastAsiaTheme="minorEastAsia" w:hAnsi="Garamond"/>
          <w:sz w:val="24"/>
          <w:szCs w:val="24"/>
        </w:rPr>
        <w:t xml:space="preserve"> alumni who work now as engineers, </w:t>
      </w:r>
      <w:proofErr w:type="gramStart"/>
      <w:r w:rsidRPr="004D0DA3">
        <w:rPr>
          <w:rFonts w:ascii="Garamond" w:eastAsiaTheme="minorEastAsia" w:hAnsi="Garamond"/>
          <w:sz w:val="24"/>
          <w:szCs w:val="24"/>
        </w:rPr>
        <w:t>law-men</w:t>
      </w:r>
      <w:proofErr w:type="gramEnd"/>
      <w:r w:rsidRPr="004D0DA3">
        <w:rPr>
          <w:rFonts w:ascii="Garamond" w:eastAsiaTheme="minorEastAsia" w:hAnsi="Garamond"/>
          <w:sz w:val="24"/>
          <w:szCs w:val="24"/>
        </w:rPr>
        <w:t>, medical doctors etc.</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“Life Experience”</w:t>
      </w:r>
      <w:r w:rsidRPr="004D0DA3">
        <w:rPr>
          <w:rFonts w:ascii="Garamond" w:eastAsiaTheme="minorEastAsia" w:hAnsi="Garamond"/>
          <w:sz w:val="24"/>
          <w:szCs w:val="24"/>
        </w:rPr>
        <w:t xml:space="preserve"> – film about students’ lives and education at the University of Sharjah (Arabic and English versions).</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“Intel Arab World Science Competition”</w:t>
      </w:r>
      <w:r w:rsidRPr="004D0DA3">
        <w:rPr>
          <w:rFonts w:ascii="Garamond" w:eastAsiaTheme="minorEastAsia" w:hAnsi="Garamond"/>
          <w:sz w:val="24"/>
          <w:szCs w:val="24"/>
        </w:rPr>
        <w:t xml:space="preserve"> – documentary on the second Competition of Science in the Arab World, organized by Intel.</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“Sky is the Limit”</w:t>
      </w:r>
      <w:r w:rsidRPr="004D0DA3">
        <w:rPr>
          <w:rFonts w:ascii="Garamond" w:eastAsiaTheme="minorEastAsia" w:hAnsi="Garamond"/>
          <w:sz w:val="24"/>
          <w:szCs w:val="24"/>
        </w:rPr>
        <w:t xml:space="preserve"> – documentary film on British ethnic minorities’ educational endeavors and successes. This film won the achievement Award in the Ethnic Minorities’ Art Works Festival held in London on March 2011.</w:t>
      </w:r>
    </w:p>
    <w:p w:rsidR="004D0DA3" w:rsidRPr="004D0DA3" w:rsidRDefault="004D0DA3" w:rsidP="004D0DA3">
      <w:pPr>
        <w:numPr>
          <w:ilvl w:val="0"/>
          <w:numId w:val="1"/>
        </w:numPr>
        <w:spacing w:after="0" w:line="276" w:lineRule="auto"/>
        <w:contextualSpacing/>
        <w:rPr>
          <w:rFonts w:ascii="Garamond" w:eastAsiaTheme="minorEastAsia" w:hAnsi="Garamond"/>
          <w:bCs/>
          <w:sz w:val="24"/>
          <w:szCs w:val="24"/>
        </w:rPr>
      </w:pPr>
      <w:r w:rsidRPr="004D0DA3">
        <w:rPr>
          <w:rFonts w:ascii="Garamond" w:eastAsiaTheme="minorEastAsia" w:hAnsi="Garamond"/>
          <w:bCs/>
          <w:sz w:val="24"/>
          <w:szCs w:val="24"/>
        </w:rPr>
        <w:t xml:space="preserve"> “The Child”</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 xml:space="preserve">– short narrative film based on Herman Hesse’s </w:t>
      </w:r>
      <w:r w:rsidRPr="004D0DA3">
        <w:rPr>
          <w:rFonts w:ascii="Garamond" w:eastAsiaTheme="minorEastAsia" w:hAnsi="Garamond"/>
          <w:i/>
          <w:iCs/>
          <w:sz w:val="24"/>
          <w:szCs w:val="24"/>
        </w:rPr>
        <w:t xml:space="preserve">Incipit Vita Nova, </w:t>
      </w:r>
      <w:r w:rsidRPr="004D0DA3">
        <w:rPr>
          <w:rFonts w:ascii="Garamond" w:eastAsiaTheme="minorEastAsia" w:hAnsi="Garamond"/>
          <w:sz w:val="24"/>
          <w:szCs w:val="24"/>
        </w:rPr>
        <w:t>shot in London.</w:t>
      </w:r>
    </w:p>
    <w:p w:rsidR="004D0DA3" w:rsidRPr="004D0DA3" w:rsidRDefault="004D0DA3" w:rsidP="004D0DA3">
      <w:pPr>
        <w:numPr>
          <w:ilvl w:val="0"/>
          <w:numId w:val="1"/>
        </w:numPr>
        <w:spacing w:after="0" w:line="276" w:lineRule="auto"/>
        <w:contextualSpacing/>
        <w:rPr>
          <w:rFonts w:ascii="Garamond" w:eastAsiaTheme="minorEastAsia" w:hAnsi="Garamond"/>
          <w:bCs/>
          <w:sz w:val="24"/>
          <w:szCs w:val="24"/>
        </w:rPr>
      </w:pPr>
      <w:r w:rsidRPr="004D0DA3">
        <w:rPr>
          <w:rFonts w:ascii="Garamond" w:eastAsiaTheme="minorEastAsia" w:hAnsi="Garamond"/>
          <w:bCs/>
          <w:sz w:val="24"/>
          <w:szCs w:val="24"/>
        </w:rPr>
        <w:t>“Children of Ibrahim”</w:t>
      </w:r>
      <w:r w:rsidRPr="004D0DA3">
        <w:rPr>
          <w:rFonts w:ascii="Garamond" w:eastAsiaTheme="minorEastAsia" w:hAnsi="Garamond"/>
          <w:sz w:val="24"/>
          <w:szCs w:val="24"/>
        </w:rPr>
        <w:t xml:space="preserve"> – documentary on racial integration through the story of a building which was a church, then a synagogue, then a Masjid in Brick Lane, </w:t>
      </w:r>
      <w:r w:rsidRPr="004D0DA3">
        <w:rPr>
          <w:rFonts w:ascii="Garamond" w:eastAsiaTheme="minorEastAsia" w:hAnsi="Garamond"/>
          <w:iCs/>
          <w:sz w:val="24"/>
          <w:szCs w:val="24"/>
        </w:rPr>
        <w:t>London.</w:t>
      </w:r>
    </w:p>
    <w:p w:rsidR="004D0DA3" w:rsidRPr="004D0DA3" w:rsidRDefault="004D0DA3" w:rsidP="004D0DA3">
      <w:pPr>
        <w:widowControl w:val="0"/>
        <w:numPr>
          <w:ilvl w:val="0"/>
          <w:numId w:val="1"/>
        </w:numPr>
        <w:tabs>
          <w:tab w:val="left" w:pos="360"/>
        </w:tabs>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“3-D Viewer”</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 xml:space="preserve">short fiction shot in Yemen, officially selected for the </w:t>
      </w:r>
      <w:proofErr w:type="spellStart"/>
      <w:r w:rsidRPr="004D0DA3">
        <w:rPr>
          <w:rFonts w:ascii="Garamond" w:eastAsiaTheme="minorEastAsia" w:hAnsi="Garamond"/>
          <w:sz w:val="24"/>
          <w:szCs w:val="24"/>
        </w:rPr>
        <w:lastRenderedPageBreak/>
        <w:t>Raindance</w:t>
      </w:r>
      <w:proofErr w:type="spellEnd"/>
      <w:r w:rsidRPr="004D0DA3">
        <w:rPr>
          <w:rFonts w:ascii="Garamond" w:eastAsiaTheme="minorEastAsia" w:hAnsi="Garamond"/>
          <w:sz w:val="24"/>
          <w:szCs w:val="24"/>
        </w:rPr>
        <w:t xml:space="preserve"> London Film Festival, Emirates Film Festival and Dublin Film Festival.</w:t>
      </w:r>
    </w:p>
    <w:p w:rsidR="006A4B79" w:rsidRDefault="006A4B79"/>
    <w:sectPr w:rsidR="006A4B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83D1B"/>
    <w:multiLevelType w:val="hybridMultilevel"/>
    <w:tmpl w:val="EAA0B300"/>
    <w:lvl w:ilvl="0" w:tplc="04090005">
      <w:start w:val="1"/>
      <w:numFmt w:val="bullet"/>
      <w:lvlText w:val=""/>
      <w:lvlJc w:val="left"/>
      <w:pPr>
        <w:ind w:left="1800" w:hanging="360"/>
      </w:pPr>
      <w:rPr>
        <w:rFonts w:ascii="Wingdings" w:hAnsi="Wingdings" w:hint="default"/>
        <w:b/>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3287538"/>
    <w:multiLevelType w:val="hybridMultilevel"/>
    <w:tmpl w:val="D9040B54"/>
    <w:lvl w:ilvl="0" w:tplc="04090005">
      <w:start w:val="1"/>
      <w:numFmt w:val="bullet"/>
      <w:lvlText w:val=""/>
      <w:lvlJc w:val="left"/>
      <w:pPr>
        <w:ind w:left="1070" w:hanging="360"/>
      </w:pPr>
      <w:rPr>
        <w:rFonts w:ascii="Wingdings" w:hAnsi="Wingding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A3"/>
    <w:rsid w:val="004D0DA3"/>
    <w:rsid w:val="006A4B79"/>
    <w:rsid w:val="006E6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EEC57-BD85-4C14-A2C3-06F44B89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QPT3VHF6MKWP-83287781-46464</_dlc_DocId>
    <_dlc_DocIdUrl xmlns="4595ca7b-3a15-4971-af5f-cadc29c03e04">
      <Url>https://qataruniversity-prd.qu.edu.qa/_layouts/15/DocIdRedir.aspx?ID=QPT3VHF6MKWP-83287781-46464</Url>
      <Description>QPT3VHF6MKWP-83287781-46464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FB3806-9827-47D3-8A9C-493ADE48FCE9}"/>
</file>

<file path=customXml/itemProps2.xml><?xml version="1.0" encoding="utf-8"?>
<ds:datastoreItem xmlns:ds="http://schemas.openxmlformats.org/officeDocument/2006/customXml" ds:itemID="{9CAE5CFA-149C-4EB4-85BD-29161968AE1E}"/>
</file>

<file path=customXml/itemProps3.xml><?xml version="1.0" encoding="utf-8"?>
<ds:datastoreItem xmlns:ds="http://schemas.openxmlformats.org/officeDocument/2006/customXml" ds:itemID="{1CBF0D02-3740-48FD-8291-CEA180A7F210}"/>
</file>

<file path=customXml/itemProps4.xml><?xml version="1.0" encoding="utf-8"?>
<ds:datastoreItem xmlns:ds="http://schemas.openxmlformats.org/officeDocument/2006/customXml" ds:itemID="{BDD62DBD-6284-4579-8CA4-C972BC9D03AF}"/>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Badawi Sadig</dc:creator>
  <cp:keywords/>
  <dc:description/>
  <cp:lastModifiedBy>Saddek Rabah</cp:lastModifiedBy>
  <cp:revision>2</cp:revision>
  <dcterms:created xsi:type="dcterms:W3CDTF">2018-11-07T04:59:00Z</dcterms:created>
  <dcterms:modified xsi:type="dcterms:W3CDTF">2018-11-07T04:59:00Z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dcf9e496-8835-468f-b632-a0bf5e74aa22</vt:lpwstr>
  </property>
</Properties>
</file>